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F077B" w14:textId="05BFCD8C" w:rsidR="008A351B" w:rsidRPr="008A351B" w:rsidRDefault="008A351B" w:rsidP="008A351B">
      <w:pPr>
        <w:widowControl w:val="0"/>
        <w:tabs>
          <w:tab w:val="right" w:pos="9923"/>
        </w:tabs>
        <w:overflowPunct/>
        <w:autoSpaceDE/>
        <w:autoSpaceDN/>
        <w:adjustRightInd/>
        <w:spacing w:after="0"/>
        <w:ind w:right="-7"/>
        <w:textAlignment w:val="auto"/>
        <w:rPr>
          <w:rFonts w:ascii="Arial" w:eastAsia="DengXian" w:hAnsi="Arial" w:cs="Arial"/>
          <w:b/>
          <w:bCs/>
          <w:i/>
          <w:sz w:val="32"/>
          <w:lang w:eastAsia="ja-JP"/>
        </w:rPr>
      </w:pPr>
      <w:bookmarkStart w:id="0" w:name="_Hlk19781073"/>
      <w:r w:rsidRPr="008A351B">
        <w:rPr>
          <w:rFonts w:ascii="Arial" w:eastAsia="DengXian" w:hAnsi="Arial" w:cs="Arial"/>
          <w:b/>
          <w:bCs/>
          <w:sz w:val="24"/>
          <w:lang w:eastAsia="en-US"/>
        </w:rPr>
        <w:t>3GPP T</w:t>
      </w:r>
      <w:bookmarkStart w:id="1" w:name="_Ref452454252"/>
      <w:bookmarkEnd w:id="1"/>
      <w:r w:rsidRPr="008A351B">
        <w:rPr>
          <w:rFonts w:ascii="Arial" w:eastAsia="DengXian" w:hAnsi="Arial" w:cs="Arial"/>
          <w:b/>
          <w:bCs/>
          <w:sz w:val="24"/>
          <w:lang w:eastAsia="en-US"/>
        </w:rPr>
        <w:t>SG-</w:t>
      </w:r>
      <w:r w:rsidRPr="008A351B">
        <w:rPr>
          <w:rFonts w:ascii="Arial" w:eastAsia="DengXian" w:hAnsi="Arial" w:cs="Arial"/>
          <w:b/>
          <w:bCs/>
          <w:sz w:val="24"/>
          <w:szCs w:val="24"/>
          <w:lang w:eastAsia="en-US"/>
        </w:rPr>
        <w:t xml:space="preserve">RAN </w:t>
      </w:r>
      <w:r w:rsidRPr="008A351B">
        <w:rPr>
          <w:rFonts w:ascii="Arial" w:eastAsia="DengXian" w:hAnsi="Arial" w:cs="Arial"/>
          <w:b/>
          <w:sz w:val="24"/>
          <w:szCs w:val="24"/>
          <w:lang w:eastAsia="en-US"/>
        </w:rPr>
        <w:t>WG3 Meeting #123-</w:t>
      </w:r>
      <w:r w:rsidRPr="008A351B">
        <w:rPr>
          <w:rFonts w:ascii="Arial" w:eastAsia="DengXian" w:hAnsi="Arial" w:cs="Arial" w:hint="eastAsia"/>
          <w:b/>
          <w:sz w:val="24"/>
          <w:szCs w:val="24"/>
        </w:rPr>
        <w:t>bis</w:t>
      </w:r>
      <w:r w:rsidRPr="008A351B">
        <w:rPr>
          <w:rFonts w:ascii="Arial" w:eastAsia="DengXian" w:hAnsi="Arial" w:cs="Arial"/>
          <w:b/>
          <w:bCs/>
          <w:sz w:val="24"/>
          <w:lang w:eastAsia="en-US"/>
        </w:rPr>
        <w:tab/>
      </w:r>
      <w:r w:rsidR="00FF6A8C" w:rsidRPr="00FF6A8C">
        <w:rPr>
          <w:rFonts w:ascii="Arial" w:eastAsia="DengXian" w:hAnsi="Arial" w:cs="Arial"/>
          <w:b/>
          <w:bCs/>
          <w:sz w:val="24"/>
          <w:lang w:eastAsia="en-US"/>
        </w:rPr>
        <w:t>R3-24157</w:t>
      </w:r>
      <w:r w:rsidR="00FF6A8C">
        <w:rPr>
          <w:rFonts w:ascii="Arial" w:eastAsia="DengXian" w:hAnsi="Arial" w:cs="Arial"/>
          <w:b/>
          <w:bCs/>
          <w:sz w:val="24"/>
          <w:lang w:eastAsia="en-US"/>
        </w:rPr>
        <w:t>3</w:t>
      </w:r>
    </w:p>
    <w:p w14:paraId="1B0EF23F" w14:textId="77777777" w:rsidR="008A351B" w:rsidRPr="008A351B" w:rsidRDefault="008A351B" w:rsidP="008A351B">
      <w:pPr>
        <w:overflowPunct/>
        <w:autoSpaceDE/>
        <w:autoSpaceDN/>
        <w:adjustRightInd/>
        <w:spacing w:after="120"/>
        <w:textAlignment w:val="auto"/>
        <w:rPr>
          <w:rFonts w:ascii="Arial" w:eastAsia="DengXian" w:hAnsi="Arial"/>
          <w:b/>
          <w:noProof/>
          <w:sz w:val="24"/>
          <w:lang w:eastAsia="en-US"/>
        </w:rPr>
      </w:pPr>
      <w:bookmarkStart w:id="2" w:name="_Hlk19781143"/>
      <w:r w:rsidRPr="008A351B">
        <w:rPr>
          <w:rFonts w:ascii="Arial" w:eastAsia="DengXian" w:hAnsi="Arial"/>
          <w:b/>
          <w:noProof/>
          <w:sz w:val="24"/>
          <w:lang w:eastAsia="en-US"/>
        </w:rPr>
        <w:t>Changsha, China, 15-19 April, 2024</w:t>
      </w:r>
    </w:p>
    <w:bookmarkEnd w:id="0"/>
    <w:bookmarkEnd w:id="2"/>
    <w:p w14:paraId="27701854" w14:textId="77777777" w:rsidR="008A351B" w:rsidRPr="008A351B" w:rsidRDefault="008A351B" w:rsidP="008A351B">
      <w:pPr>
        <w:widowControl w:val="0"/>
        <w:overflowPunct/>
        <w:autoSpaceDE/>
        <w:autoSpaceDN/>
        <w:adjustRightInd/>
        <w:spacing w:after="0"/>
        <w:textAlignment w:val="auto"/>
        <w:rPr>
          <w:rFonts w:ascii="Arial" w:eastAsia="DengXian" w:hAnsi="Arial" w:cs="Arial"/>
          <w:b/>
          <w:bCs/>
          <w:sz w:val="24"/>
          <w:lang w:eastAsia="ja-JP"/>
        </w:rPr>
      </w:pPr>
    </w:p>
    <w:p w14:paraId="12622642" w14:textId="77777777" w:rsidR="008A351B" w:rsidRPr="008A351B" w:rsidRDefault="008A351B" w:rsidP="008A351B">
      <w:pPr>
        <w:widowControl w:val="0"/>
        <w:overflowPunct/>
        <w:autoSpaceDE/>
        <w:autoSpaceDN/>
        <w:adjustRightInd/>
        <w:spacing w:after="0"/>
        <w:textAlignment w:val="auto"/>
        <w:rPr>
          <w:rFonts w:ascii="Arial" w:eastAsia="DengXian" w:hAnsi="Arial" w:cs="Arial"/>
          <w:b/>
          <w:bCs/>
          <w:sz w:val="24"/>
          <w:lang w:eastAsia="ja-JP"/>
        </w:rPr>
      </w:pPr>
    </w:p>
    <w:p w14:paraId="5A62805A" w14:textId="17D55D79" w:rsidR="008A351B" w:rsidRPr="008A351B" w:rsidRDefault="008A351B" w:rsidP="008A351B">
      <w:pPr>
        <w:tabs>
          <w:tab w:val="left" w:pos="1985"/>
        </w:tabs>
        <w:overflowPunct/>
        <w:autoSpaceDE/>
        <w:autoSpaceDN/>
        <w:adjustRightInd/>
        <w:spacing w:after="120"/>
        <w:textAlignment w:val="auto"/>
        <w:rPr>
          <w:rFonts w:ascii="Arial" w:eastAsia="DengXian" w:hAnsi="Arial" w:cs="Arial"/>
          <w:b/>
          <w:bCs/>
          <w:color w:val="000000"/>
          <w:sz w:val="24"/>
          <w:szCs w:val="24"/>
          <w:lang w:val="en-US" w:eastAsia="ja-JP"/>
        </w:rPr>
      </w:pPr>
      <w:r w:rsidRPr="008A351B">
        <w:rPr>
          <w:rFonts w:ascii="Arial" w:eastAsia="DengXian" w:hAnsi="Arial" w:cs="Arial"/>
          <w:b/>
          <w:bCs/>
          <w:color w:val="000000"/>
          <w:sz w:val="24"/>
          <w:szCs w:val="24"/>
          <w:lang w:val="en-US" w:eastAsia="en-US"/>
        </w:rPr>
        <w:t>Agenda Item:</w:t>
      </w:r>
      <w:r w:rsidRPr="008A351B">
        <w:rPr>
          <w:rFonts w:ascii="Arial" w:eastAsia="DengXian" w:hAnsi="Arial" w:cs="Arial"/>
          <w:b/>
          <w:bCs/>
          <w:color w:val="000000"/>
          <w:sz w:val="24"/>
          <w:szCs w:val="24"/>
          <w:lang w:val="en-US" w:eastAsia="en-US"/>
        </w:rPr>
        <w:tab/>
      </w:r>
      <w:r>
        <w:rPr>
          <w:rFonts w:ascii="Arial" w:eastAsia="DengXian" w:hAnsi="Arial" w:cs="Arial"/>
          <w:b/>
          <w:bCs/>
          <w:color w:val="000000"/>
          <w:sz w:val="24"/>
          <w:szCs w:val="24"/>
          <w:lang w:val="en-US"/>
        </w:rPr>
        <w:t>10</w:t>
      </w:r>
      <w:r w:rsidRPr="008A351B">
        <w:rPr>
          <w:rFonts w:ascii="Arial" w:eastAsia="DengXian" w:hAnsi="Arial" w:cs="Arial"/>
          <w:b/>
          <w:bCs/>
          <w:color w:val="000000"/>
          <w:sz w:val="24"/>
          <w:szCs w:val="24"/>
          <w:lang w:val="en-US"/>
        </w:rPr>
        <w:t>.</w:t>
      </w:r>
      <w:r w:rsidR="001D686F">
        <w:rPr>
          <w:rFonts w:ascii="Arial" w:eastAsia="DengXian" w:hAnsi="Arial" w:cs="Arial"/>
          <w:b/>
          <w:bCs/>
          <w:color w:val="000000"/>
          <w:sz w:val="24"/>
          <w:szCs w:val="24"/>
          <w:lang w:val="en-US"/>
        </w:rPr>
        <w:t>4</w:t>
      </w:r>
    </w:p>
    <w:p w14:paraId="0FE2D663" w14:textId="77777777" w:rsidR="008A351B" w:rsidRPr="008A351B" w:rsidRDefault="008A351B" w:rsidP="008A351B">
      <w:pPr>
        <w:tabs>
          <w:tab w:val="left" w:pos="1985"/>
        </w:tabs>
        <w:overflowPunct/>
        <w:autoSpaceDE/>
        <w:autoSpaceDN/>
        <w:adjustRightInd/>
        <w:spacing w:after="120"/>
        <w:textAlignment w:val="auto"/>
        <w:rPr>
          <w:rFonts w:ascii="Arial" w:eastAsia="DengXian" w:hAnsi="Arial" w:cs="Arial"/>
          <w:b/>
          <w:bCs/>
          <w:color w:val="000000"/>
          <w:sz w:val="24"/>
          <w:szCs w:val="24"/>
          <w:lang w:val="en-US" w:eastAsia="ja-JP"/>
        </w:rPr>
      </w:pPr>
      <w:r w:rsidRPr="008A351B">
        <w:rPr>
          <w:rFonts w:ascii="Arial" w:eastAsia="DengXian" w:hAnsi="Arial" w:cs="Arial"/>
          <w:b/>
          <w:bCs/>
          <w:color w:val="000000"/>
          <w:sz w:val="24"/>
          <w:szCs w:val="24"/>
          <w:lang w:val="en-US" w:eastAsia="en-US"/>
        </w:rPr>
        <w:t>Source:</w:t>
      </w:r>
      <w:r w:rsidRPr="008A351B">
        <w:rPr>
          <w:rFonts w:ascii="Arial" w:eastAsia="DengXian" w:hAnsi="Arial" w:cs="Arial"/>
          <w:b/>
          <w:bCs/>
          <w:color w:val="000000"/>
          <w:sz w:val="24"/>
          <w:szCs w:val="24"/>
          <w:lang w:val="en-US" w:eastAsia="en-US"/>
        </w:rPr>
        <w:tab/>
        <w:t>Huawei</w:t>
      </w:r>
    </w:p>
    <w:p w14:paraId="0C4757B4" w14:textId="7D275530" w:rsidR="008A351B" w:rsidRPr="008A351B" w:rsidRDefault="008A351B" w:rsidP="008A351B">
      <w:pPr>
        <w:tabs>
          <w:tab w:val="left" w:pos="1985"/>
        </w:tabs>
        <w:overflowPunct/>
        <w:autoSpaceDE/>
        <w:autoSpaceDN/>
        <w:adjustRightInd/>
        <w:spacing w:after="120"/>
        <w:ind w:left="1985" w:hanging="1985"/>
        <w:textAlignment w:val="auto"/>
        <w:rPr>
          <w:rFonts w:ascii="Arial" w:eastAsia="DengXian" w:hAnsi="Arial" w:cs="Arial"/>
          <w:b/>
          <w:bCs/>
          <w:color w:val="000000"/>
          <w:sz w:val="24"/>
          <w:szCs w:val="24"/>
          <w:lang w:val="en-US" w:eastAsia="ja-JP"/>
        </w:rPr>
      </w:pPr>
      <w:r w:rsidRPr="008A351B">
        <w:rPr>
          <w:rFonts w:ascii="Arial" w:eastAsia="DengXian" w:hAnsi="Arial" w:cs="Arial"/>
          <w:b/>
          <w:bCs/>
          <w:color w:val="000000"/>
          <w:sz w:val="24"/>
          <w:szCs w:val="24"/>
          <w:lang w:val="en-US" w:eastAsia="en-US"/>
        </w:rPr>
        <w:t>Title:</w:t>
      </w:r>
      <w:r w:rsidRPr="008A351B">
        <w:rPr>
          <w:rFonts w:ascii="Arial" w:eastAsia="DengXian" w:hAnsi="Arial" w:cs="Arial"/>
          <w:b/>
          <w:bCs/>
          <w:color w:val="000000"/>
          <w:sz w:val="24"/>
          <w:szCs w:val="24"/>
          <w:lang w:val="en-US" w:eastAsia="en-US"/>
        </w:rPr>
        <w:tab/>
      </w:r>
      <w:r w:rsidR="001D686F">
        <w:rPr>
          <w:rFonts w:ascii="Arial" w:eastAsia="DengXian" w:hAnsi="Arial" w:cs="Arial"/>
          <w:b/>
          <w:bCs/>
          <w:color w:val="000000"/>
          <w:sz w:val="24"/>
          <w:szCs w:val="24"/>
          <w:lang w:val="en-US" w:eastAsia="en-US"/>
        </w:rPr>
        <w:t>Rel</w:t>
      </w:r>
      <w:r w:rsidR="009062A0">
        <w:rPr>
          <w:rFonts w:ascii="Arial" w:eastAsia="DengXian" w:hAnsi="Arial" w:cs="Arial"/>
          <w:b/>
          <w:bCs/>
          <w:color w:val="000000"/>
          <w:sz w:val="24"/>
          <w:szCs w:val="24"/>
          <w:lang w:val="en-US" w:eastAsia="en-US"/>
        </w:rPr>
        <w:t>-</w:t>
      </w:r>
      <w:r w:rsidR="001D686F">
        <w:rPr>
          <w:rFonts w:ascii="Arial" w:eastAsia="DengXian" w:hAnsi="Arial" w:cs="Arial"/>
          <w:b/>
          <w:bCs/>
          <w:color w:val="000000"/>
          <w:sz w:val="24"/>
          <w:szCs w:val="24"/>
          <w:lang w:val="en-US" w:eastAsia="en-US"/>
        </w:rPr>
        <w:t>18 SON/MDT leftovers</w:t>
      </w:r>
    </w:p>
    <w:p w14:paraId="68B2D527" w14:textId="311F569E" w:rsidR="008A351B" w:rsidRPr="008A351B" w:rsidRDefault="008A351B" w:rsidP="008A351B">
      <w:pPr>
        <w:tabs>
          <w:tab w:val="left" w:pos="1985"/>
        </w:tabs>
        <w:overflowPunct/>
        <w:autoSpaceDE/>
        <w:autoSpaceDN/>
        <w:adjustRightInd/>
        <w:spacing w:after="120"/>
        <w:textAlignment w:val="auto"/>
        <w:rPr>
          <w:rFonts w:ascii="Arial" w:eastAsia="MS Mincho" w:hAnsi="Arial" w:cs="Arial"/>
          <w:b/>
          <w:bCs/>
          <w:color w:val="000000"/>
          <w:sz w:val="24"/>
          <w:szCs w:val="24"/>
          <w:lang w:val="en-US" w:eastAsia="ja-JP"/>
        </w:rPr>
      </w:pPr>
      <w:r w:rsidRPr="008A351B">
        <w:rPr>
          <w:rFonts w:ascii="Arial" w:eastAsia="DengXian" w:hAnsi="Arial" w:cs="Arial"/>
          <w:b/>
          <w:bCs/>
          <w:color w:val="000000"/>
          <w:sz w:val="24"/>
          <w:szCs w:val="24"/>
          <w:lang w:val="en-US" w:eastAsia="en-US"/>
        </w:rPr>
        <w:t>Document for:</w:t>
      </w:r>
      <w:r w:rsidRPr="008A351B">
        <w:rPr>
          <w:rFonts w:ascii="Arial" w:eastAsia="DengXian" w:hAnsi="Arial" w:cs="Arial"/>
          <w:b/>
          <w:bCs/>
          <w:color w:val="000000"/>
          <w:sz w:val="24"/>
          <w:szCs w:val="24"/>
          <w:lang w:val="en-US" w:eastAsia="en-US"/>
        </w:rPr>
        <w:tab/>
        <w:t>Discussion</w:t>
      </w:r>
    </w:p>
    <w:p w14:paraId="69E856B8" w14:textId="77777777" w:rsidR="00A053D1" w:rsidRPr="003F2D43" w:rsidRDefault="00827357">
      <w:pPr>
        <w:pStyle w:val="Heading1"/>
      </w:pPr>
      <w:r w:rsidRPr="003F2D43">
        <w:t>1   Introduction</w:t>
      </w:r>
    </w:p>
    <w:p w14:paraId="49727720" w14:textId="7CD3BF0C" w:rsidR="00FF75C2" w:rsidRDefault="00BF0C3D" w:rsidP="00DF0BC6">
      <w:pPr>
        <w:spacing w:after="0"/>
        <w:rPr>
          <w:rFonts w:eastAsiaTheme="minorEastAsia"/>
        </w:rPr>
      </w:pPr>
      <w:r>
        <w:rPr>
          <w:rFonts w:eastAsiaTheme="minorEastAsia"/>
        </w:rPr>
        <w:t>According to the RAN plenary #10</w:t>
      </w:r>
      <w:r w:rsidR="002B33F1">
        <w:rPr>
          <w:rFonts w:eastAsiaTheme="minorEastAsia"/>
        </w:rPr>
        <w:t>2</w:t>
      </w:r>
      <w:r>
        <w:rPr>
          <w:rFonts w:eastAsiaTheme="minorEastAsia"/>
        </w:rPr>
        <w:t xml:space="preserve"> meeting, the </w:t>
      </w:r>
      <w:r w:rsidR="00D033FA">
        <w:rPr>
          <w:rFonts w:eastAsiaTheme="minorEastAsia"/>
        </w:rPr>
        <w:t xml:space="preserve">work item </w:t>
      </w:r>
      <w:r w:rsidR="00DC3313">
        <w:rPr>
          <w:rFonts w:eastAsiaTheme="minorEastAsia"/>
        </w:rPr>
        <w:t xml:space="preserve">on </w:t>
      </w:r>
      <w:r w:rsidR="00D033FA">
        <w:rPr>
          <w:rFonts w:eastAsiaTheme="minorEastAsia"/>
        </w:rPr>
        <w:t>SON</w:t>
      </w:r>
      <w:r w:rsidR="00D033FA">
        <w:rPr>
          <w:rFonts w:eastAsiaTheme="minorEastAsia" w:hint="eastAsia"/>
        </w:rPr>
        <w:t>/</w:t>
      </w:r>
      <w:r w:rsidR="00D033FA">
        <w:rPr>
          <w:rFonts w:eastAsiaTheme="minorEastAsia"/>
        </w:rPr>
        <w:t xml:space="preserve">MDT </w:t>
      </w:r>
      <w:r w:rsidR="00DC3313">
        <w:rPr>
          <w:rFonts w:eastAsiaTheme="minorEastAsia"/>
        </w:rPr>
        <w:t>in NR</w:t>
      </w:r>
      <w:r w:rsidR="00D033FA">
        <w:rPr>
          <w:rFonts w:eastAsiaTheme="minorEastAsia"/>
        </w:rPr>
        <w:t xml:space="preserve"> standalone </w:t>
      </w:r>
      <w:r w:rsidR="00D033FA">
        <w:rPr>
          <w:rFonts w:eastAsiaTheme="minorEastAsia" w:hint="eastAsia"/>
        </w:rPr>
        <w:t>an</w:t>
      </w:r>
      <w:r w:rsidR="00D033FA">
        <w:rPr>
          <w:rFonts w:eastAsiaTheme="minorEastAsia"/>
        </w:rPr>
        <w:t>d MR-DC</w:t>
      </w:r>
      <w:r w:rsidR="00DC3313">
        <w:rPr>
          <w:rFonts w:eastAsiaTheme="minorEastAsia"/>
        </w:rPr>
        <w:t xml:space="preserve"> is approved</w:t>
      </w:r>
      <w:r w:rsidR="00DF0BC6">
        <w:rPr>
          <w:rFonts w:eastAsiaTheme="minorEastAsia"/>
        </w:rPr>
        <w:t xml:space="preserve"> [1] with objectives listed as following:</w:t>
      </w:r>
    </w:p>
    <w:tbl>
      <w:tblPr>
        <w:tblStyle w:val="TableGrid"/>
        <w:tblW w:w="0" w:type="auto"/>
        <w:tblLook w:val="04A0" w:firstRow="1" w:lastRow="0" w:firstColumn="1" w:lastColumn="0" w:noHBand="0" w:noVBand="1"/>
      </w:tblPr>
      <w:tblGrid>
        <w:gridCol w:w="9629"/>
      </w:tblGrid>
      <w:tr w:rsidR="00DF0BC6" w14:paraId="0DA055D9" w14:textId="77777777" w:rsidTr="00AF6EAD">
        <w:tc>
          <w:tcPr>
            <w:tcW w:w="9629" w:type="dxa"/>
          </w:tcPr>
          <w:p w14:paraId="5FD31E7A" w14:textId="77777777" w:rsidR="00D033FA" w:rsidRDefault="00D033FA" w:rsidP="00D033FA">
            <w:pPr>
              <w:spacing w:before="120" w:line="280" w:lineRule="atLeast"/>
              <w:rPr>
                <w:rFonts w:eastAsia="SimSun"/>
              </w:rPr>
            </w:pPr>
            <w:bookmarkStart w:id="3" w:name="OLE_LINK35"/>
            <w:bookmarkStart w:id="4" w:name="_Hlk162445187"/>
            <w:r>
              <w:rPr>
                <w:rFonts w:eastAsia="SimSun"/>
              </w:rPr>
              <w:t xml:space="preserve">The objective of this work item is to specify </w:t>
            </w:r>
            <w:r>
              <w:rPr>
                <w:rFonts w:eastAsia="SimSun" w:hint="eastAsia"/>
              </w:rPr>
              <w:t xml:space="preserve">data collection enhancement in NR </w:t>
            </w:r>
            <w:r w:rsidRPr="008F3A10">
              <w:rPr>
                <w:rFonts w:eastAsia="SimSun"/>
              </w:rPr>
              <w:t xml:space="preserve">standalone and MR-DC </w:t>
            </w:r>
            <w:r>
              <w:rPr>
                <w:rFonts w:eastAsia="SimSun"/>
              </w:rPr>
              <w:t>for SON/MDT purpose</w:t>
            </w:r>
            <w:r>
              <w:rPr>
                <w:rFonts w:eastAsia="SimSun" w:hint="eastAsia"/>
              </w:rPr>
              <w:t xml:space="preserve">. </w:t>
            </w:r>
            <w:r>
              <w:rPr>
                <w:rFonts w:eastAsia="SimSun"/>
              </w:rPr>
              <w:t>The specific objectives of this work item are:</w:t>
            </w:r>
          </w:p>
          <w:p w14:paraId="414525FB" w14:textId="77777777" w:rsidR="00D033FA" w:rsidRDefault="00D033FA" w:rsidP="00D033FA">
            <w:pPr>
              <w:spacing w:before="120" w:line="280" w:lineRule="atLeast"/>
              <w:rPr>
                <w:rFonts w:eastAsia="SimSun"/>
              </w:rPr>
            </w:pPr>
            <w:bookmarkStart w:id="5" w:name="OLE_LINK31"/>
            <w:bookmarkStart w:id="6" w:name="OLE_LINK17"/>
            <w:r>
              <w:rPr>
                <w:rFonts w:eastAsia="SimSun"/>
              </w:rPr>
              <w:t>- MRO enhancement for R18 mobility mechanisms, including</w:t>
            </w:r>
            <w:r>
              <w:rPr>
                <w:rFonts w:hint="eastAsia"/>
              </w:rPr>
              <w:t xml:space="preserve">, </w:t>
            </w:r>
            <w:r>
              <w:rPr>
                <w:rFonts w:eastAsia="SimSun"/>
              </w:rPr>
              <w:t>Lower layer triggered mobility (LTM), CHO with candidate SCGs, subsequent CPAC [RAN3, RAN2]:</w:t>
            </w:r>
          </w:p>
          <w:p w14:paraId="14CEEB19" w14:textId="77777777" w:rsidR="00D033FA" w:rsidRDefault="00D033FA" w:rsidP="00D033FA">
            <w:pPr>
              <w:pStyle w:val="ListParagraph"/>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rPr>
              <w:t>Specification of the inter-node information exchange, including possible enhancements to interfaces[RAN3]</w:t>
            </w:r>
          </w:p>
          <w:p w14:paraId="611DDA8C" w14:textId="77777777" w:rsidR="00D033FA" w:rsidRDefault="00D033FA" w:rsidP="00D033FA">
            <w:pPr>
              <w:pStyle w:val="ListParagraph"/>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hint="eastAsia"/>
              </w:rPr>
              <w:t>Identify and specify necessary UE reporting to enhance the mobility parameter tuning</w:t>
            </w:r>
            <w:r>
              <w:rPr>
                <w:rFonts w:ascii="Times New Roman" w:hAnsi="Times New Roman"/>
              </w:rPr>
              <w:t> [RAN2]</w:t>
            </w:r>
          </w:p>
          <w:bookmarkEnd w:id="5"/>
          <w:p w14:paraId="51561D1A" w14:textId="77777777" w:rsidR="00D033FA" w:rsidRDefault="00D033FA" w:rsidP="00D033FA">
            <w:pPr>
              <w:spacing w:before="120" w:line="280" w:lineRule="atLeast"/>
              <w:rPr>
                <w:rFonts w:eastAsia="SimSun"/>
              </w:rPr>
            </w:pPr>
            <w:r>
              <w:rPr>
                <w:rFonts w:eastAsia="SimSun" w:hint="eastAsia"/>
              </w:rPr>
              <w:t>- Support of SON/MDT enhancements for [RAN3, RAN2]:</w:t>
            </w:r>
          </w:p>
          <w:p w14:paraId="6FA74C07" w14:textId="77777777" w:rsidR="00D033FA" w:rsidRDefault="00D033FA" w:rsidP="00D033FA">
            <w:pPr>
              <w:pStyle w:val="ListParagraph"/>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hint="eastAsia"/>
              </w:rPr>
              <w:t>Intra-NTN mobility</w:t>
            </w:r>
          </w:p>
          <w:p w14:paraId="001CA3BB" w14:textId="77777777" w:rsidR="00D033FA" w:rsidRPr="00050F8A" w:rsidRDefault="00D033FA" w:rsidP="00D033FA">
            <w:pPr>
              <w:pStyle w:val="ListParagraph"/>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hint="eastAsia"/>
              </w:rPr>
              <w:t>Network Slicing</w:t>
            </w:r>
          </w:p>
          <w:bookmarkEnd w:id="6"/>
          <w:p w14:paraId="65C1E1B9" w14:textId="77777777" w:rsidR="00D033FA" w:rsidRDefault="00D033FA" w:rsidP="00D033FA">
            <w:pPr>
              <w:spacing w:before="120" w:line="280" w:lineRule="atLeast"/>
              <w:rPr>
                <w:rFonts w:eastAsia="SimSun"/>
              </w:rPr>
            </w:pPr>
            <w:r>
              <w:rPr>
                <w:rFonts w:eastAsia="SimSun" w:hint="eastAsia"/>
              </w:rPr>
              <w:t>- Support of the leftovers in Rel-18 SON/MDT [RAN3, RAN2]:</w:t>
            </w:r>
          </w:p>
          <w:p w14:paraId="59FD572A" w14:textId="77777777" w:rsidR="00D033FA" w:rsidRPr="00E76D9C" w:rsidRDefault="00D033FA" w:rsidP="00D033FA">
            <w:pPr>
              <w:widowControl w:val="0"/>
              <w:numPr>
                <w:ilvl w:val="0"/>
                <w:numId w:val="29"/>
              </w:numPr>
              <w:overflowPunct/>
              <w:autoSpaceDE/>
              <w:autoSpaceDN/>
              <w:adjustRightInd/>
              <w:spacing w:before="120" w:after="0" w:line="280" w:lineRule="atLeast"/>
              <w:jc w:val="both"/>
              <w:textAlignment w:val="auto"/>
              <w:rPr>
                <w:rFonts w:eastAsia="SimSun"/>
              </w:rPr>
            </w:pPr>
            <w:r w:rsidRPr="00E76D9C">
              <w:rPr>
                <w:rFonts w:eastAsia="SimSun"/>
              </w:rPr>
              <w:t>RACH optimization for SDT</w:t>
            </w:r>
          </w:p>
          <w:p w14:paraId="6705D021" w14:textId="77777777" w:rsidR="00D033FA" w:rsidRPr="00E76D9C" w:rsidRDefault="00D033FA" w:rsidP="00D033FA">
            <w:pPr>
              <w:widowControl w:val="0"/>
              <w:numPr>
                <w:ilvl w:val="0"/>
                <w:numId w:val="29"/>
              </w:numPr>
              <w:overflowPunct/>
              <w:autoSpaceDE/>
              <w:autoSpaceDN/>
              <w:adjustRightInd/>
              <w:spacing w:before="120" w:after="0" w:line="280" w:lineRule="atLeast"/>
              <w:jc w:val="both"/>
              <w:textAlignment w:val="auto"/>
              <w:rPr>
                <w:rFonts w:eastAsia="SimSun"/>
              </w:rPr>
            </w:pPr>
            <w:r w:rsidRPr="00E76D9C">
              <w:rPr>
                <w:rFonts w:eastAsia="SimSun"/>
              </w:rPr>
              <w:t>MHI Enhancement for SCG Deactivation/Activation</w:t>
            </w:r>
          </w:p>
          <w:p w14:paraId="650E7514" w14:textId="77777777" w:rsidR="00D033FA" w:rsidRPr="00E76D9C" w:rsidRDefault="00D033FA" w:rsidP="00D033FA">
            <w:pPr>
              <w:pStyle w:val="ListParagraph"/>
              <w:widowControl w:val="0"/>
              <w:numPr>
                <w:ilvl w:val="0"/>
                <w:numId w:val="29"/>
              </w:numPr>
              <w:spacing w:before="120" w:line="280" w:lineRule="atLeast"/>
              <w:ind w:leftChars="0"/>
              <w:contextualSpacing/>
              <w:jc w:val="both"/>
              <w:rPr>
                <w:rFonts w:ascii="Times New Roman" w:hAnsi="Times New Roman"/>
              </w:rPr>
            </w:pPr>
            <w:r w:rsidRPr="00E76D9C">
              <w:rPr>
                <w:rFonts w:ascii="Times New Roman" w:hAnsi="Times New Roman"/>
              </w:rPr>
              <w:t>MRO for MR-DC SCG failure</w:t>
            </w:r>
          </w:p>
          <w:p w14:paraId="06A1F0D2" w14:textId="401275DE" w:rsidR="00DF0BC6" w:rsidRPr="004238E8" w:rsidRDefault="00D033FA" w:rsidP="004238E8">
            <w:pPr>
              <w:spacing w:before="120" w:line="280" w:lineRule="atLeast"/>
              <w:rPr>
                <w:rFonts w:eastAsia="SimSun"/>
              </w:rPr>
            </w:pPr>
            <w:r>
              <w:rPr>
                <w:rFonts w:eastAsia="SimSun"/>
              </w:rPr>
              <w:t>If needed, co-operate with RAN1, SA2, SA5, CT4.</w:t>
            </w:r>
            <w:bookmarkEnd w:id="3"/>
          </w:p>
        </w:tc>
      </w:tr>
      <w:bookmarkEnd w:id="4"/>
    </w:tbl>
    <w:p w14:paraId="21AD53CB" w14:textId="77777777" w:rsidR="00DF0BC6" w:rsidRPr="00DF0BC6" w:rsidRDefault="00DF0BC6" w:rsidP="00DF0BC6">
      <w:pPr>
        <w:spacing w:after="0"/>
        <w:rPr>
          <w:rFonts w:eastAsiaTheme="minorEastAsia"/>
        </w:rPr>
      </w:pPr>
    </w:p>
    <w:p w14:paraId="3EEE728D" w14:textId="7FBA4094" w:rsidR="00FF75C2" w:rsidRPr="00FF75C2" w:rsidRDefault="00FF75C2" w:rsidP="00FF75C2">
      <w:pPr>
        <w:rPr>
          <w:rFonts w:eastAsiaTheme="minorEastAsia"/>
        </w:rPr>
      </w:pPr>
      <w:r>
        <w:rPr>
          <w:rFonts w:eastAsiaTheme="minorEastAsia" w:hint="eastAsia"/>
        </w:rPr>
        <w:t>I</w:t>
      </w:r>
      <w:r>
        <w:rPr>
          <w:rFonts w:eastAsiaTheme="minorEastAsia"/>
        </w:rPr>
        <w:t xml:space="preserve">n this paper, </w:t>
      </w:r>
      <w:r w:rsidR="00DF0BC6">
        <w:rPr>
          <w:rFonts w:eastAsiaTheme="minorEastAsia"/>
        </w:rPr>
        <w:t xml:space="preserve">we </w:t>
      </w:r>
      <w:r w:rsidR="008A351B">
        <w:rPr>
          <w:rFonts w:eastAsiaTheme="minorEastAsia"/>
        </w:rPr>
        <w:t xml:space="preserve">aim at starting the discussion on </w:t>
      </w:r>
      <w:r w:rsidR="001D686F">
        <w:rPr>
          <w:rFonts w:eastAsiaTheme="minorEastAsia"/>
        </w:rPr>
        <w:t>the leftover issues from Rel-18.</w:t>
      </w:r>
    </w:p>
    <w:p w14:paraId="28A63E0F" w14:textId="7576D570" w:rsidR="004533F4" w:rsidRPr="00686950" w:rsidRDefault="00827357" w:rsidP="00686950">
      <w:pPr>
        <w:pStyle w:val="Heading1"/>
      </w:pPr>
      <w:r w:rsidRPr="003F2D43">
        <w:t>2   Discussion</w:t>
      </w:r>
    </w:p>
    <w:p w14:paraId="66E49647" w14:textId="11A64762" w:rsidR="00C1236C" w:rsidRPr="003F2D43" w:rsidRDefault="00C1236C" w:rsidP="00C1236C">
      <w:pPr>
        <w:pStyle w:val="Heading2"/>
        <w:rPr>
          <w:rFonts w:eastAsiaTheme="minorEastAsia"/>
          <w:sz w:val="28"/>
          <w:szCs w:val="22"/>
        </w:rPr>
      </w:pPr>
      <w:r w:rsidRPr="003F2D43">
        <w:rPr>
          <w:rFonts w:eastAsiaTheme="minorEastAsia"/>
          <w:sz w:val="28"/>
          <w:szCs w:val="22"/>
        </w:rPr>
        <w:t>2.</w:t>
      </w:r>
      <w:r w:rsidR="00F3067F" w:rsidRPr="003F2D43">
        <w:rPr>
          <w:rFonts w:eastAsiaTheme="minorEastAsia"/>
          <w:sz w:val="28"/>
          <w:szCs w:val="22"/>
        </w:rPr>
        <w:t>1</w:t>
      </w:r>
      <w:r w:rsidR="00463021">
        <w:rPr>
          <w:rFonts w:eastAsiaTheme="minorEastAsia"/>
          <w:sz w:val="28"/>
          <w:szCs w:val="22"/>
        </w:rPr>
        <w:t xml:space="preserve"> RACH optimization</w:t>
      </w:r>
    </w:p>
    <w:p w14:paraId="5961C61E" w14:textId="2C509744" w:rsidR="0004761A" w:rsidRPr="00A756FE" w:rsidRDefault="0004761A" w:rsidP="0004761A">
      <w:pPr>
        <w:rPr>
          <w:rFonts w:eastAsiaTheme="minorEastAsia"/>
        </w:rPr>
      </w:pPr>
      <w:r>
        <w:rPr>
          <w:rFonts w:eastAsiaTheme="minorEastAsia"/>
        </w:rPr>
        <w:t>RA report for SDT has been standardized in Rel-18, which is one means to detect the SDT related RACH resource issues.</w:t>
      </w:r>
      <w:r w:rsidRPr="00A756FE">
        <w:rPr>
          <w:rFonts w:eastAsiaTheme="minorEastAsia"/>
        </w:rPr>
        <w:t xml:space="preserve"> </w:t>
      </w:r>
      <w:r>
        <w:rPr>
          <w:rFonts w:eastAsiaTheme="minorEastAsia"/>
        </w:rPr>
        <w:t xml:space="preserve">The Rel-19 WID allows the further development of RACH optimization for SDT. </w:t>
      </w:r>
      <w:r w:rsidR="00ED4045">
        <w:rPr>
          <w:rFonts w:eastAsiaTheme="minorEastAsia"/>
        </w:rPr>
        <w:t xml:space="preserve">The Rel-18 SON discussion has mentioned to report the data volume </w:t>
      </w:r>
      <w:r w:rsidR="00ED4045">
        <w:rPr>
          <w:rFonts w:eastAsiaTheme="minorEastAsia" w:hint="eastAsia"/>
        </w:rPr>
        <w:t>and</w:t>
      </w:r>
      <w:r w:rsidR="00ED4045">
        <w:rPr>
          <w:rFonts w:eastAsiaTheme="minorEastAsia"/>
        </w:rPr>
        <w:t xml:space="preserve"> the RSRP at the time of triggering or initiating RA-based SDT in RA report so that the network is capable of </w:t>
      </w:r>
      <w:r w:rsidR="00ED4045">
        <w:rPr>
          <w:rFonts w:eastAsiaTheme="minorEastAsia" w:hint="eastAsia"/>
        </w:rPr>
        <w:t>illustrat</w:t>
      </w:r>
      <w:r w:rsidR="00ED4045">
        <w:rPr>
          <w:rFonts w:eastAsiaTheme="minorEastAsia"/>
        </w:rPr>
        <w:t xml:space="preserve">ing the distribution of RSRP and data volume in order to optimize </w:t>
      </w:r>
      <w:r>
        <w:rPr>
          <w:rFonts w:eastAsiaTheme="minorEastAsia"/>
        </w:rPr>
        <w:t xml:space="preserve">the RSRP threshold and data volume threshold for triggering the RA-based SDT. </w:t>
      </w:r>
      <w:r w:rsidR="00ED4045">
        <w:rPr>
          <w:rFonts w:eastAsiaTheme="minorEastAsia"/>
        </w:rPr>
        <w:t>T</w:t>
      </w:r>
      <w:r>
        <w:rPr>
          <w:rFonts w:eastAsiaTheme="minorEastAsia"/>
        </w:rPr>
        <w:t xml:space="preserve">he feature of SDT is to </w:t>
      </w:r>
      <w:r>
        <w:rPr>
          <w:rFonts w:eastAsiaTheme="minorEastAsia" w:hint="eastAsia"/>
        </w:rPr>
        <w:t>enable</w:t>
      </w:r>
      <w:r>
        <w:rPr>
          <w:rFonts w:eastAsiaTheme="minorEastAsia"/>
        </w:rPr>
        <w:t xml:space="preserve"> the UE to perform</w:t>
      </w:r>
      <w:r w:rsidR="00ED4045">
        <w:rPr>
          <w:rFonts w:eastAsiaTheme="minorEastAsia"/>
        </w:rPr>
        <w:t xml:space="preserve"> </w:t>
      </w:r>
      <w:r w:rsidR="00ED4045">
        <w:rPr>
          <w:rFonts w:eastAsiaTheme="minorEastAsia" w:hint="eastAsia"/>
        </w:rPr>
        <w:t>small</w:t>
      </w:r>
      <w:r w:rsidR="00ED4045">
        <w:rPr>
          <w:rFonts w:eastAsiaTheme="minorEastAsia"/>
        </w:rPr>
        <w:t xml:space="preserve"> </w:t>
      </w:r>
      <w:r>
        <w:rPr>
          <w:rFonts w:eastAsiaTheme="minorEastAsia"/>
        </w:rPr>
        <w:t xml:space="preserve">data transmission without entering RRC connected. </w:t>
      </w:r>
      <w:r w:rsidR="00ED4045">
        <w:rPr>
          <w:rFonts w:eastAsiaTheme="minorEastAsia"/>
        </w:rPr>
        <w:t>W</w:t>
      </w:r>
      <w:r w:rsidR="00ED4045">
        <w:rPr>
          <w:rFonts w:eastAsiaTheme="minorEastAsia" w:hint="eastAsia"/>
        </w:rPr>
        <w:t>e</w:t>
      </w:r>
      <w:r w:rsidR="00ED4045">
        <w:rPr>
          <w:rFonts w:eastAsiaTheme="minorEastAsia"/>
        </w:rPr>
        <w:t xml:space="preserve"> understand that t</w:t>
      </w:r>
      <w:r>
        <w:rPr>
          <w:rFonts w:eastAsiaTheme="minorEastAsia"/>
        </w:rPr>
        <w:t xml:space="preserve">he optimization of condition parameters for triggering the SDT is beneficial for the UE to use SDT as much as possible. However, without the guarantee of Radio quality and small data volume, </w:t>
      </w:r>
      <w:r>
        <w:rPr>
          <w:rFonts w:eastAsiaTheme="minorEastAsia" w:hint="eastAsia"/>
        </w:rPr>
        <w:t>t</w:t>
      </w:r>
      <w:r>
        <w:rPr>
          <w:rFonts w:eastAsiaTheme="minorEastAsia"/>
        </w:rPr>
        <w:t>he data transmission via SDT may lead to large latency and even unsuccessful delivery, which deteriorates the UE experience.</w:t>
      </w:r>
      <w:r w:rsidR="00ED4045">
        <w:rPr>
          <w:rFonts w:eastAsiaTheme="minorEastAsia"/>
        </w:rPr>
        <w:t xml:space="preserve"> The kind of optimization is against the goal of the SDT feature.</w:t>
      </w:r>
    </w:p>
    <w:p w14:paraId="1A0E371F" w14:textId="051F3D71" w:rsidR="0004761A" w:rsidRPr="00DC4E03" w:rsidRDefault="0004761A" w:rsidP="00ED3CAA">
      <w:pPr>
        <w:pStyle w:val="Observation"/>
      </w:pPr>
      <w:r>
        <w:lastRenderedPageBreak/>
        <w:t>W</w:t>
      </w:r>
      <w:r w:rsidRPr="00DC4E03">
        <w:t xml:space="preserve">ithout the guarantee of Radio quality and small data volume, </w:t>
      </w:r>
      <w:r w:rsidRPr="00DC4E03">
        <w:rPr>
          <w:rFonts w:hint="eastAsia"/>
        </w:rPr>
        <w:t>t</w:t>
      </w:r>
      <w:r w:rsidRPr="00DC4E03">
        <w:t>he data transmission via SDT may lead to large latency and even unsuccessful delivery, which deteriorates the UE experience.</w:t>
      </w:r>
    </w:p>
    <w:p w14:paraId="388C8BAA" w14:textId="4162D48C" w:rsidR="00CD4AF7" w:rsidRPr="0004761A" w:rsidRDefault="0004761A" w:rsidP="00A95C66">
      <w:pPr>
        <w:pStyle w:val="Prop"/>
      </w:pPr>
      <w:bookmarkStart w:id="7" w:name="_Toc163054057"/>
      <w:bookmarkStart w:id="8" w:name="_Toc163465153"/>
      <w:r w:rsidRPr="00CB7602">
        <w:t xml:space="preserve"> </w:t>
      </w:r>
      <w:bookmarkStart w:id="9" w:name="_Toc163465116"/>
      <w:bookmarkStart w:id="10" w:name="_Toc163465318"/>
      <w:bookmarkStart w:id="11" w:name="_Toc163477996"/>
      <w:bookmarkStart w:id="12" w:name="_Toc163481835"/>
      <w:r>
        <w:t>RAN</w:t>
      </w:r>
      <w:r w:rsidR="00F95AEE">
        <w:t>3</w:t>
      </w:r>
      <w:r>
        <w:t xml:space="preserve"> </w:t>
      </w:r>
      <w:r w:rsidR="000F6634">
        <w:t xml:space="preserve">to </w:t>
      </w:r>
      <w:r w:rsidR="00AF3918">
        <w:rPr>
          <w:rFonts w:hint="eastAsia"/>
        </w:rPr>
        <w:t>justif</w:t>
      </w:r>
      <w:r w:rsidR="000F6634">
        <w:t>y</w:t>
      </w:r>
      <w:r w:rsidR="00AF3918">
        <w:t xml:space="preserve"> the need</w:t>
      </w:r>
      <w:r>
        <w:t xml:space="preserve"> of </w:t>
      </w:r>
      <w:r w:rsidR="00AF3918">
        <w:t xml:space="preserve">collecting the </w:t>
      </w:r>
      <w:r w:rsidRPr="00DC4E03">
        <w:t>RSRP threshold and data volume threshold for triggering the RA-based SDT</w:t>
      </w:r>
      <w:r>
        <w:t>.</w:t>
      </w:r>
      <w:bookmarkEnd w:id="7"/>
      <w:bookmarkEnd w:id="8"/>
      <w:bookmarkEnd w:id="9"/>
      <w:bookmarkEnd w:id="10"/>
      <w:bookmarkEnd w:id="11"/>
      <w:bookmarkEnd w:id="12"/>
    </w:p>
    <w:p w14:paraId="50771166" w14:textId="77DB60E5" w:rsidR="0046422D" w:rsidRDefault="0046422D" w:rsidP="0046422D">
      <w:pPr>
        <w:pStyle w:val="Heading2"/>
        <w:rPr>
          <w:rFonts w:eastAsiaTheme="minorEastAsia"/>
          <w:sz w:val="28"/>
          <w:szCs w:val="22"/>
        </w:rPr>
      </w:pPr>
      <w:r w:rsidRPr="003F2D43">
        <w:rPr>
          <w:rFonts w:eastAsiaTheme="minorEastAsia"/>
          <w:sz w:val="28"/>
          <w:szCs w:val="22"/>
        </w:rPr>
        <w:t>2.</w:t>
      </w:r>
      <w:r>
        <w:rPr>
          <w:rFonts w:eastAsiaTheme="minorEastAsia"/>
          <w:sz w:val="28"/>
          <w:szCs w:val="22"/>
        </w:rPr>
        <w:t>2</w:t>
      </w:r>
      <w:r w:rsidRPr="003F2D43">
        <w:rPr>
          <w:rFonts w:eastAsiaTheme="minorEastAsia"/>
          <w:sz w:val="28"/>
          <w:szCs w:val="22"/>
        </w:rPr>
        <w:t xml:space="preserve"> </w:t>
      </w:r>
      <w:bookmarkStart w:id="13" w:name="_Hlk163054153"/>
      <w:r w:rsidR="00463021">
        <w:rPr>
          <w:rFonts w:eastAsiaTheme="minorEastAsia"/>
          <w:sz w:val="28"/>
          <w:szCs w:val="22"/>
        </w:rPr>
        <w:t>MHI enhancement</w:t>
      </w:r>
      <w:bookmarkEnd w:id="13"/>
    </w:p>
    <w:p w14:paraId="30F8324E" w14:textId="77777777" w:rsidR="00F95AEE" w:rsidRDefault="00F95AEE" w:rsidP="00F95AEE">
      <w:pPr>
        <w:rPr>
          <w:rFonts w:eastAsia="SimSun"/>
        </w:rPr>
      </w:pPr>
      <w:r>
        <w:rPr>
          <w:rFonts w:eastAsiaTheme="minorEastAsia"/>
        </w:rPr>
        <w:t>SCG deactivation/activation has been standardized in Rel-17. T</w:t>
      </w:r>
      <w:r>
        <w:rPr>
          <w:rFonts w:eastAsiaTheme="minorEastAsia" w:hint="eastAsia"/>
        </w:rPr>
        <w:t>h</w:t>
      </w:r>
      <w:r>
        <w:rPr>
          <w:rFonts w:eastAsiaTheme="minorEastAsia"/>
        </w:rPr>
        <w:t xml:space="preserve">e purpose of </w:t>
      </w:r>
      <w:r>
        <w:rPr>
          <w:rFonts w:eastAsia="SimSun"/>
        </w:rPr>
        <w:t>an activation/deactivation mechanism of SCG is to enable reasonable UE battery consumption while enable fast usage of SCG when (NG)EN-DC or NR-DC</w:t>
      </w:r>
      <w:r>
        <w:rPr>
          <w:rFonts w:eastAsia="SimSun" w:hint="eastAsia"/>
        </w:rPr>
        <w:t>.</w:t>
      </w:r>
    </w:p>
    <w:p w14:paraId="3CAEB680" w14:textId="77777777" w:rsidR="00F95AEE" w:rsidRPr="00CF2CA3" w:rsidRDefault="00F95AEE" w:rsidP="00F95AEE">
      <w:pPr>
        <w:spacing w:after="120"/>
        <w:ind w:rightChars="100" w:right="200"/>
        <w:jc w:val="both"/>
        <w:rPr>
          <w:rFonts w:eastAsiaTheme="minorEastAsia"/>
        </w:rPr>
      </w:pPr>
      <w:r>
        <w:rPr>
          <w:rFonts w:eastAsia="SimSun"/>
          <w:lang w:eastAsia="en-US"/>
        </w:rPr>
        <w:t xml:space="preserve">SCG activation can be requested by the MN, by the SN and by the UE. SCG deactivation can be requested by the MN and by the SN. </w:t>
      </w:r>
      <w:r w:rsidRPr="00CF2CA3">
        <w:rPr>
          <w:rFonts w:eastAsiaTheme="minorEastAsia" w:hint="eastAsia"/>
        </w:rPr>
        <w:t>N</w:t>
      </w:r>
      <w:r w:rsidRPr="00CF2CA3">
        <w:rPr>
          <w:rFonts w:eastAsiaTheme="minorEastAsia"/>
        </w:rPr>
        <w:t xml:space="preserve">ote </w:t>
      </w:r>
      <w:r>
        <w:rPr>
          <w:rFonts w:eastAsiaTheme="minorEastAsia"/>
        </w:rPr>
        <w:t>that</w:t>
      </w:r>
      <w:r w:rsidRPr="00CF2CA3">
        <w:rPr>
          <w:rFonts w:eastAsiaTheme="minorEastAsia"/>
        </w:rPr>
        <w:t xml:space="preserve"> the</w:t>
      </w:r>
      <w:r>
        <w:rPr>
          <w:rFonts w:eastAsiaTheme="minorEastAsia"/>
        </w:rPr>
        <w:t xml:space="preserve"> UHI is </w:t>
      </w:r>
      <w:r>
        <w:rPr>
          <w:rFonts w:eastAsiaTheme="minorEastAsia" w:hint="eastAsia"/>
        </w:rPr>
        <w:t>used</w:t>
      </w:r>
      <w:r>
        <w:rPr>
          <w:rFonts w:eastAsiaTheme="minorEastAsia"/>
        </w:rPr>
        <w:t xml:space="preserve"> fo</w:t>
      </w:r>
      <w:r w:rsidRPr="00CF2CA3">
        <w:rPr>
          <w:rFonts w:eastAsia="SimSun"/>
        </w:rPr>
        <w:t>r the</w:t>
      </w:r>
      <w:r>
        <w:rPr>
          <w:rFonts w:eastAsia="SimSun"/>
        </w:rPr>
        <w:t xml:space="preserve"> optimization of mobility parameters and detection of ping-pong case, the objective of UHI enhancement for SCG deactivation is to enable the optimization of efficient allocation and release of SCG resource when the target MN/SN receives the history SCG deactivation information.</w:t>
      </w:r>
    </w:p>
    <w:p w14:paraId="159C1003" w14:textId="35E0D172" w:rsidR="00F95AEE" w:rsidRDefault="00F95AEE" w:rsidP="00A95C66">
      <w:pPr>
        <w:pStyle w:val="Prop"/>
      </w:pPr>
      <w:bookmarkStart w:id="14" w:name="_Toc163054058"/>
      <w:bookmarkStart w:id="15" w:name="_Toc163465154"/>
      <w:bookmarkStart w:id="16" w:name="_Toc163465117"/>
      <w:bookmarkStart w:id="17" w:name="_Toc163465319"/>
      <w:bookmarkStart w:id="18" w:name="_Toc163477997"/>
      <w:bookmarkStart w:id="19" w:name="_Toc163481836"/>
      <w:r>
        <w:t>T</w:t>
      </w:r>
      <w:r w:rsidRPr="001A4E5B">
        <w:t>he objective of UHI enhancement for SCG deactivation is to enable the optimization of efficient allocation and release of SCG resource when the target MN/SN receives the history SCG deactivation information.</w:t>
      </w:r>
      <w:bookmarkEnd w:id="14"/>
      <w:bookmarkEnd w:id="15"/>
      <w:bookmarkEnd w:id="16"/>
      <w:bookmarkEnd w:id="17"/>
      <w:bookmarkEnd w:id="18"/>
      <w:bookmarkEnd w:id="19"/>
    </w:p>
    <w:p w14:paraId="1F1F0FD2" w14:textId="47DA0D34" w:rsidR="00F95AEE" w:rsidRPr="00942BBD" w:rsidRDefault="00F95AEE" w:rsidP="00F95AEE">
      <w:pPr>
        <w:spacing w:after="120"/>
        <w:ind w:rightChars="100" w:right="200"/>
        <w:jc w:val="both"/>
        <w:rPr>
          <w:rFonts w:eastAsiaTheme="minorEastAsia"/>
          <w:b/>
        </w:rPr>
      </w:pPr>
      <w:r w:rsidRPr="00A756FE">
        <w:rPr>
          <w:rFonts w:eastAsia="SimSun"/>
          <w:lang w:eastAsia="en-US"/>
        </w:rPr>
        <w:t xml:space="preserve">If it is for the SCG resource usage, the granularity of recording the SCG deactivation needs to be investigated. The granularity </w:t>
      </w:r>
      <w:r w:rsidRPr="00A756FE">
        <w:rPr>
          <w:rFonts w:eastAsia="SimSun" w:hint="eastAsia"/>
          <w:lang w:eastAsia="en-US"/>
        </w:rPr>
        <w:t>of</w:t>
      </w:r>
      <w:r w:rsidRPr="00A756FE">
        <w:rPr>
          <w:rFonts w:eastAsia="SimSun"/>
          <w:lang w:eastAsia="en-US"/>
        </w:rPr>
        <w:t xml:space="preserve"> </w:t>
      </w:r>
      <w:r w:rsidR="00555089">
        <w:rPr>
          <w:rFonts w:eastAsia="SimSun"/>
          <w:lang w:eastAsia="en-US"/>
        </w:rPr>
        <w:t xml:space="preserve">information </w:t>
      </w:r>
      <w:r>
        <w:rPr>
          <w:rFonts w:eastAsia="SimSun"/>
          <w:lang w:eastAsia="en-US"/>
        </w:rPr>
        <w:t xml:space="preserve">regarding the SCG deactivation information is sufficient for the target MN’s </w:t>
      </w:r>
      <w:r w:rsidRPr="00DC4E03">
        <w:rPr>
          <w:rFonts w:eastAsia="SimSun"/>
          <w:lang w:eastAsia="en-US"/>
        </w:rPr>
        <w:t>decision.</w:t>
      </w:r>
    </w:p>
    <w:p w14:paraId="05AE9EC5" w14:textId="10422815" w:rsidR="00F95AEE" w:rsidRPr="00942BBD" w:rsidRDefault="00F95AEE" w:rsidP="00A95C66">
      <w:pPr>
        <w:pStyle w:val="Prop"/>
      </w:pPr>
      <w:bookmarkStart w:id="20" w:name="_Toc163054059"/>
      <w:bookmarkStart w:id="21" w:name="_Toc163465155"/>
      <w:bookmarkStart w:id="22" w:name="_Toc163465118"/>
      <w:bookmarkStart w:id="23" w:name="_Toc163465320"/>
      <w:bookmarkStart w:id="24" w:name="_Toc163477998"/>
      <w:bookmarkStart w:id="25" w:name="_Toc163481837"/>
      <w:r>
        <w:t xml:space="preserve">RAN3 </w:t>
      </w:r>
      <w:r w:rsidR="000F6634">
        <w:t xml:space="preserve">to </w:t>
      </w:r>
      <w:r>
        <w:t xml:space="preserve">discuss the </w:t>
      </w:r>
      <w:r w:rsidRPr="00942BBD">
        <w:t xml:space="preserve">granularity of </w:t>
      </w:r>
      <w:r w:rsidR="00555089">
        <w:t>information</w:t>
      </w:r>
      <w:r w:rsidR="00555089" w:rsidRPr="00DC4E03">
        <w:t xml:space="preserve"> </w:t>
      </w:r>
      <w:r w:rsidRPr="00DC4E03">
        <w:t>regarding the SCG deactivation information</w:t>
      </w:r>
      <w:r>
        <w:t>.</w:t>
      </w:r>
      <w:bookmarkEnd w:id="20"/>
      <w:bookmarkEnd w:id="21"/>
      <w:bookmarkEnd w:id="22"/>
      <w:bookmarkEnd w:id="23"/>
      <w:bookmarkEnd w:id="24"/>
      <w:bookmarkEnd w:id="25"/>
    </w:p>
    <w:p w14:paraId="170D96E1" w14:textId="631B5AA3" w:rsidR="00F95AEE" w:rsidRPr="00A756FE" w:rsidRDefault="00F95AEE" w:rsidP="00F95AEE">
      <w:pPr>
        <w:rPr>
          <w:rFonts w:eastAsia="SimSun"/>
        </w:rPr>
      </w:pPr>
      <w:r>
        <w:rPr>
          <w:rFonts w:eastAsiaTheme="minorEastAsia" w:hint="eastAsia"/>
        </w:rPr>
        <w:t>E</w:t>
      </w:r>
      <w:r>
        <w:rPr>
          <w:rFonts w:eastAsiaTheme="minorEastAsia"/>
        </w:rPr>
        <w:t>ither the MN or the SN is aware of when the SCG status as SCG deactivated or activated starts or ends. So is the UE</w:t>
      </w:r>
      <w:r>
        <w:rPr>
          <w:rFonts w:eastAsiaTheme="minorEastAsia" w:hint="eastAsia"/>
        </w:rPr>
        <w:t>.</w:t>
      </w:r>
      <w:r>
        <w:rPr>
          <w:rFonts w:eastAsiaTheme="minorEastAsia"/>
        </w:rPr>
        <w:t xml:space="preserve"> T</w:t>
      </w:r>
      <w:r>
        <w:rPr>
          <w:rFonts w:eastAsia="SimSun"/>
        </w:rPr>
        <w:t>he MN can configure the SCG as activated or deactivated upon e.g. PSCell addition, PSCell change, RRC Resume or handover.</w:t>
      </w:r>
      <w:r w:rsidRPr="00A756FE">
        <w:rPr>
          <w:rFonts w:eastAsia="SimSun"/>
        </w:rPr>
        <w:t xml:space="preserve"> </w:t>
      </w:r>
      <w:r>
        <w:rPr>
          <w:rFonts w:eastAsia="SimSun"/>
        </w:rPr>
        <w:t>If the UHI from the network is enhanced, the UHI records the SCG UHI while the UE is in RRC connected and thus the SCG status during the stayed time. However, the UHI from UE is capable of logging the SCG UHI regardless of the RRC state</w:t>
      </w:r>
      <w:r>
        <w:rPr>
          <w:rFonts w:eastAsia="SimSun" w:hint="eastAsia"/>
        </w:rPr>
        <w:t>,</w:t>
      </w:r>
      <w:r>
        <w:rPr>
          <w:rFonts w:eastAsia="SimSun"/>
        </w:rPr>
        <w:t xml:space="preserve"> which is more accurate</w:t>
      </w:r>
      <w:r w:rsidR="000F6634">
        <w:rPr>
          <w:rFonts w:eastAsia="SimSun"/>
        </w:rPr>
        <w:t xml:space="preserve"> since it may contain information from an active session that occurred before the UE moved into the idle state</w:t>
      </w:r>
      <w:r>
        <w:rPr>
          <w:rFonts w:eastAsia="SimSun"/>
        </w:rPr>
        <w:t>.</w:t>
      </w:r>
    </w:p>
    <w:p w14:paraId="7F61E8C3" w14:textId="3F27EEA8" w:rsidR="00F95AEE" w:rsidRDefault="00F95AEE" w:rsidP="00ED3CAA">
      <w:pPr>
        <w:pStyle w:val="Observation"/>
      </w:pPr>
      <w:r w:rsidRPr="00ED3CAA">
        <w:t>Both</w:t>
      </w:r>
      <w:r>
        <w:t xml:space="preserve"> the network and </w:t>
      </w:r>
      <w:r w:rsidRPr="00CF2CA3">
        <w:t xml:space="preserve">the UE </w:t>
      </w:r>
      <w:r>
        <w:rPr>
          <w:rFonts w:hint="eastAsia"/>
        </w:rPr>
        <w:t>are</w:t>
      </w:r>
      <w:r w:rsidRPr="00CF2CA3">
        <w:t xml:space="preserve"> aware of when the SCG status as SCG deactivated or activated starts or ends.</w:t>
      </w:r>
      <w:r w:rsidR="000F6634">
        <w:t xml:space="preserve"> This may help the network in cases the UE changes RRC state and the UE reported history provides information on usage in the past. </w:t>
      </w:r>
    </w:p>
    <w:p w14:paraId="6A2B756D" w14:textId="76E64C24" w:rsidR="00F95AEE" w:rsidRDefault="000F6634" w:rsidP="00A95C66">
      <w:pPr>
        <w:pStyle w:val="Prop"/>
      </w:pPr>
      <w:bookmarkStart w:id="26" w:name="_Toc163054060"/>
      <w:bookmarkStart w:id="27" w:name="_Toc163465156"/>
      <w:bookmarkStart w:id="28" w:name="_Toc163465119"/>
      <w:bookmarkStart w:id="29" w:name="_Toc163465321"/>
      <w:bookmarkStart w:id="30" w:name="_Toc163477999"/>
      <w:bookmarkStart w:id="31" w:name="_Toc163481838"/>
      <w:r>
        <w:t xml:space="preserve">Once the network based solution is agreed, RAN2 should be consulted to determine if it is feasible to also </w:t>
      </w:r>
      <w:r w:rsidR="00555089">
        <w:t>a</w:t>
      </w:r>
      <w:r>
        <w:t>dd this to the UHI reported from the UE.</w:t>
      </w:r>
      <w:bookmarkEnd w:id="26"/>
      <w:bookmarkEnd w:id="27"/>
      <w:bookmarkEnd w:id="28"/>
      <w:bookmarkEnd w:id="29"/>
      <w:bookmarkEnd w:id="30"/>
      <w:bookmarkEnd w:id="31"/>
    </w:p>
    <w:p w14:paraId="36212794" w14:textId="77777777" w:rsidR="00F95AEE" w:rsidRPr="00F95AEE" w:rsidRDefault="00F95AEE" w:rsidP="00F95AEE">
      <w:pPr>
        <w:rPr>
          <w:rFonts w:eastAsiaTheme="minorEastAsia"/>
        </w:rPr>
      </w:pPr>
    </w:p>
    <w:p w14:paraId="6DA4D2C1" w14:textId="35BF9E32" w:rsidR="00C4456F" w:rsidRPr="003F2D43" w:rsidRDefault="00C4456F" w:rsidP="00C4456F">
      <w:pPr>
        <w:pStyle w:val="Heading2"/>
        <w:rPr>
          <w:rFonts w:eastAsiaTheme="minorEastAsia"/>
          <w:sz w:val="28"/>
          <w:szCs w:val="22"/>
        </w:rPr>
      </w:pPr>
      <w:r w:rsidRPr="003F2D43">
        <w:rPr>
          <w:rFonts w:eastAsiaTheme="minorEastAsia"/>
          <w:sz w:val="28"/>
          <w:szCs w:val="22"/>
        </w:rPr>
        <w:t>2.</w:t>
      </w:r>
      <w:bookmarkStart w:id="32" w:name="_Hlk163053681"/>
      <w:r w:rsidR="00C80008">
        <w:rPr>
          <w:rFonts w:eastAsiaTheme="minorEastAsia"/>
          <w:sz w:val="28"/>
          <w:szCs w:val="22"/>
        </w:rPr>
        <w:t>3</w:t>
      </w:r>
      <w:r w:rsidRPr="003F2D43">
        <w:rPr>
          <w:rFonts w:eastAsiaTheme="minorEastAsia"/>
          <w:sz w:val="28"/>
          <w:szCs w:val="22"/>
        </w:rPr>
        <w:t xml:space="preserve"> </w:t>
      </w:r>
      <w:r w:rsidR="00D033FA">
        <w:rPr>
          <w:rFonts w:eastAsiaTheme="minorEastAsia"/>
          <w:sz w:val="28"/>
          <w:szCs w:val="22"/>
        </w:rPr>
        <w:t>MRO</w:t>
      </w:r>
      <w:r w:rsidR="00463021">
        <w:rPr>
          <w:rFonts w:eastAsiaTheme="minorEastAsia"/>
          <w:sz w:val="28"/>
          <w:szCs w:val="22"/>
        </w:rPr>
        <w:t xml:space="preserve"> for MR-DC SCG failure</w:t>
      </w:r>
      <w:bookmarkEnd w:id="32"/>
    </w:p>
    <w:p w14:paraId="24AAFE43" w14:textId="77777777" w:rsidR="00296D13" w:rsidRPr="005E51F1" w:rsidRDefault="00296D13" w:rsidP="00296D13">
      <w:pPr>
        <w:rPr>
          <w:rFonts w:eastAsiaTheme="minorEastAsia"/>
        </w:rPr>
      </w:pPr>
      <w:r w:rsidRPr="005E51F1">
        <w:rPr>
          <w:rFonts w:eastAsiaTheme="minorEastAsia"/>
        </w:rPr>
        <w:t>Rel-17 SON/MDT WI developed the solution for MRO for NR-DC SCG failures</w:t>
      </w:r>
      <w:r>
        <w:rPr>
          <w:rFonts w:eastAsiaTheme="minorEastAsia"/>
        </w:rPr>
        <w:t xml:space="preserve"> according to TS 38.331 specification [</w:t>
      </w:r>
      <w:r w:rsidRPr="00045464">
        <w:rPr>
          <w:rFonts w:eastAsiaTheme="minorEastAsia"/>
        </w:rPr>
        <w:t>[2]</w:t>
      </w:r>
      <w:r w:rsidRPr="005E51F1">
        <w:rPr>
          <w:rFonts w:eastAsiaTheme="minorEastAsia"/>
        </w:rPr>
        <w:t>. In Rel-17, SON/MDT WI considered primarily two SCG failure scenarios as follows:</w:t>
      </w:r>
    </w:p>
    <w:p w14:paraId="4EE9035E" w14:textId="77777777" w:rsidR="00296D13" w:rsidRPr="005E51F1" w:rsidRDefault="00296D13" w:rsidP="00296D13">
      <w:pPr>
        <w:pStyle w:val="ListParagraph"/>
        <w:numPr>
          <w:ilvl w:val="0"/>
          <w:numId w:val="30"/>
        </w:numPr>
        <w:ind w:leftChars="0"/>
        <w:contextualSpacing/>
        <w:rPr>
          <w:rFonts w:ascii="Times New Roman" w:eastAsiaTheme="minorEastAsia" w:hAnsi="Times New Roman"/>
          <w:szCs w:val="20"/>
        </w:rPr>
      </w:pPr>
      <w:r w:rsidRPr="005E51F1">
        <w:rPr>
          <w:rFonts w:ascii="Times New Roman" w:eastAsiaTheme="minorEastAsia" w:hAnsi="Times New Roman"/>
          <w:szCs w:val="20"/>
        </w:rPr>
        <w:t xml:space="preserve">SCG RLF, and </w:t>
      </w:r>
    </w:p>
    <w:p w14:paraId="5C32FB5F" w14:textId="77777777" w:rsidR="00296D13" w:rsidRPr="005E51F1" w:rsidRDefault="00296D13" w:rsidP="00296D13">
      <w:pPr>
        <w:pStyle w:val="ListParagraph"/>
        <w:numPr>
          <w:ilvl w:val="0"/>
          <w:numId w:val="30"/>
        </w:numPr>
        <w:ind w:leftChars="0"/>
        <w:contextualSpacing/>
        <w:rPr>
          <w:rFonts w:ascii="Times New Roman" w:eastAsiaTheme="minorEastAsia" w:hAnsi="Times New Roman"/>
          <w:szCs w:val="20"/>
        </w:rPr>
      </w:pPr>
      <w:r w:rsidRPr="005E51F1">
        <w:rPr>
          <w:rFonts w:ascii="Times New Roman" w:eastAsiaTheme="minorEastAsia" w:hAnsi="Times New Roman"/>
          <w:szCs w:val="20"/>
        </w:rPr>
        <w:t>Legacy PSCell change or addition failure.</w:t>
      </w:r>
    </w:p>
    <w:p w14:paraId="2AE25DA1" w14:textId="77777777" w:rsidR="00296D13" w:rsidRDefault="00296D13" w:rsidP="00296D13">
      <w:pPr>
        <w:spacing w:after="120"/>
        <w:ind w:rightChars="100" w:right="200"/>
        <w:jc w:val="both"/>
        <w:rPr>
          <w:rFonts w:eastAsiaTheme="minorEastAsia"/>
          <w:b/>
        </w:rPr>
      </w:pPr>
    </w:p>
    <w:p w14:paraId="492EB577" w14:textId="77777777" w:rsidR="00296D13" w:rsidRDefault="00296D13" w:rsidP="00296D13">
      <w:pPr>
        <w:spacing w:after="120"/>
        <w:ind w:rightChars="100" w:right="200"/>
        <w:jc w:val="both"/>
        <w:rPr>
          <w:rFonts w:eastAsiaTheme="minorEastAsia"/>
        </w:rPr>
      </w:pPr>
      <w:r>
        <w:rPr>
          <w:rFonts w:eastAsiaTheme="minorEastAsia"/>
        </w:rPr>
        <w:t xml:space="preserve">Since MRO for SCG failures is only considered for NR-DC, the </w:t>
      </w:r>
      <w:r w:rsidRPr="00045464">
        <w:rPr>
          <w:rFonts w:eastAsiaTheme="minorEastAsia"/>
        </w:rPr>
        <w:t>Rel-18 WI</w:t>
      </w:r>
      <w:r>
        <w:rPr>
          <w:rFonts w:eastAsiaTheme="minorEastAsia"/>
        </w:rPr>
        <w:t xml:space="preserve"> </w:t>
      </w:r>
      <w:r w:rsidRPr="00045464">
        <w:rPr>
          <w:rFonts w:eastAsiaTheme="minorEastAsia"/>
        </w:rPr>
        <w:t>considers</w:t>
      </w:r>
      <w:r>
        <w:rPr>
          <w:rFonts w:eastAsiaTheme="minorEastAsia"/>
        </w:rPr>
        <w:t xml:space="preserve"> supporting data collection for MR-DC SCG failure scenario. However, the RAN2#120 meeting has d</w:t>
      </w:r>
      <w:r w:rsidRPr="00045464">
        <w:rPr>
          <w:rFonts w:eastAsiaTheme="minorEastAsia"/>
        </w:rPr>
        <w:t>eprioritize</w:t>
      </w:r>
      <w:r>
        <w:rPr>
          <w:rFonts w:eastAsiaTheme="minorEastAsia"/>
        </w:rPr>
        <w:t>d</w:t>
      </w:r>
      <w:r w:rsidRPr="00045464">
        <w:rPr>
          <w:rFonts w:eastAsiaTheme="minorEastAsia"/>
        </w:rPr>
        <w:t xml:space="preserve"> NE-DC / EN-DC scenarios for SCG failure information report</w:t>
      </w:r>
      <w:r>
        <w:rPr>
          <w:rFonts w:eastAsiaTheme="minorEastAsia"/>
        </w:rPr>
        <w:t xml:space="preserve"> due to the impact on LTE specification.</w:t>
      </w:r>
    </w:p>
    <w:p w14:paraId="4F23A098" w14:textId="77777777" w:rsidR="000F6634" w:rsidRDefault="00296D13" w:rsidP="00296D13">
      <w:pPr>
        <w:spacing w:after="120"/>
        <w:ind w:rightChars="100" w:right="200"/>
        <w:jc w:val="both"/>
        <w:rPr>
          <w:rFonts w:eastAsiaTheme="minorEastAsia"/>
        </w:rPr>
      </w:pPr>
      <w:r>
        <w:rPr>
          <w:rFonts w:eastAsiaTheme="minorEastAsia"/>
        </w:rPr>
        <w:t xml:space="preserve">For EN-DC scenario, the UE report the NR SCG failure information to LTE MN node, and then the LTM MN node may further forward the NR SCG failure information to NR SN node. The </w:t>
      </w:r>
      <w:r>
        <w:rPr>
          <w:i/>
          <w:noProof/>
        </w:rPr>
        <w:t>SCGFailureInformationNR</w:t>
      </w:r>
      <w:r>
        <w:rPr>
          <w:rFonts w:eastAsiaTheme="minorEastAsia"/>
        </w:rPr>
        <w:t xml:space="preserve"> message </w:t>
      </w:r>
      <w:r>
        <w:rPr>
          <w:rFonts w:eastAsiaTheme="minorEastAsia" w:hint="eastAsia"/>
        </w:rPr>
        <w:t>reported</w:t>
      </w:r>
      <w:r>
        <w:rPr>
          <w:rFonts w:eastAsiaTheme="minorEastAsia"/>
        </w:rPr>
        <w:t xml:space="preserve"> from UE to LTE node needs to be enhanced in LTE RRC spec accordingly to align with the </w:t>
      </w:r>
      <w:r>
        <w:rPr>
          <w:i/>
          <w:iCs/>
        </w:rPr>
        <w:t xml:space="preserve">SCGFailureInformation </w:t>
      </w:r>
      <w:r w:rsidRPr="00A20871">
        <w:rPr>
          <w:iCs/>
        </w:rPr>
        <w:t>in NR RRC spec</w:t>
      </w:r>
      <w:r>
        <w:rPr>
          <w:rFonts w:eastAsiaTheme="minorEastAsia"/>
        </w:rPr>
        <w:t xml:space="preserve">. </w:t>
      </w:r>
    </w:p>
    <w:p w14:paraId="12218110" w14:textId="77777777" w:rsidR="000F6634" w:rsidRDefault="00296D13" w:rsidP="00296D13">
      <w:pPr>
        <w:spacing w:after="120"/>
        <w:ind w:rightChars="100" w:right="200"/>
        <w:jc w:val="both"/>
        <w:rPr>
          <w:rFonts w:eastAsiaTheme="minorEastAsia"/>
        </w:rPr>
      </w:pPr>
      <w:r>
        <w:rPr>
          <w:rFonts w:eastAsiaTheme="minorEastAsia"/>
        </w:rPr>
        <w:t xml:space="preserve">From RAN3 perspective, either a new signalling for forwarding the </w:t>
      </w:r>
      <w:r>
        <w:rPr>
          <w:rFonts w:eastAsiaTheme="minorEastAsia" w:hint="eastAsia"/>
        </w:rPr>
        <w:t>enhanced</w:t>
      </w:r>
      <w:r>
        <w:rPr>
          <w:rFonts w:eastAsiaTheme="minorEastAsia"/>
        </w:rPr>
        <w:t xml:space="preserve"> NR SCG failure information is developed, or the </w:t>
      </w:r>
      <w:r w:rsidRPr="00B500ED">
        <w:rPr>
          <w:rFonts w:cs="Arial"/>
          <w:i/>
        </w:rPr>
        <w:t>MeNB to SgNB Container</w:t>
      </w:r>
      <w:r>
        <w:rPr>
          <w:rFonts w:cs="Arial"/>
        </w:rPr>
        <w:t xml:space="preserve"> IE via </w:t>
      </w:r>
      <w:r>
        <w:rPr>
          <w:rFonts w:cs="Arial"/>
          <w:lang w:eastAsia="ja-JP"/>
        </w:rPr>
        <w:t>the SN modification request message from LTE MN to NR SN</w:t>
      </w:r>
      <w:r>
        <w:rPr>
          <w:rFonts w:eastAsiaTheme="minorEastAsia"/>
        </w:rPr>
        <w:t xml:space="preserve">, </w:t>
      </w:r>
      <w:r w:rsidRPr="00B500ED">
        <w:rPr>
          <w:rFonts w:eastAsiaTheme="minorEastAsia" w:hint="eastAsia"/>
        </w:rPr>
        <w:t>refer</w:t>
      </w:r>
      <w:r w:rsidRPr="00B500ED">
        <w:rPr>
          <w:rFonts w:eastAsiaTheme="minorEastAsia"/>
        </w:rPr>
        <w:t xml:space="preserve">red to </w:t>
      </w:r>
      <w:r>
        <w:rPr>
          <w:rFonts w:cs="Arial"/>
          <w:i/>
          <w:lang w:eastAsia="ja-JP"/>
        </w:rPr>
        <w:t>CG-ConfigInfo</w:t>
      </w:r>
      <w:r>
        <w:rPr>
          <w:rFonts w:cs="Arial"/>
          <w:lang w:eastAsia="ja-JP"/>
        </w:rPr>
        <w:t xml:space="preserve"> message as defined in TS 38.331, is reused</w:t>
      </w:r>
      <w:r>
        <w:rPr>
          <w:rFonts w:eastAsiaTheme="minorEastAsia"/>
        </w:rPr>
        <w:t xml:space="preserve">. </w:t>
      </w:r>
      <w:r w:rsidR="00F92531">
        <w:rPr>
          <w:rFonts w:eastAsiaTheme="minorEastAsia"/>
        </w:rPr>
        <w:t xml:space="preserve">However, the </w:t>
      </w:r>
      <w:r w:rsidR="00F92531" w:rsidRPr="00B500ED">
        <w:rPr>
          <w:rFonts w:cs="Arial"/>
          <w:i/>
        </w:rPr>
        <w:t>MeNB to SgNB Container</w:t>
      </w:r>
      <w:r w:rsidR="00F92531">
        <w:rPr>
          <w:rFonts w:cs="Arial"/>
        </w:rPr>
        <w:t xml:space="preserve"> IE via </w:t>
      </w:r>
      <w:r w:rsidR="00F92531">
        <w:rPr>
          <w:rFonts w:cs="Arial"/>
          <w:lang w:eastAsia="ja-JP"/>
        </w:rPr>
        <w:t>the SN modification request message</w:t>
      </w:r>
      <w:r w:rsidR="00F92531">
        <w:rPr>
          <w:rFonts w:eastAsiaTheme="minorEastAsia"/>
        </w:rPr>
        <w:t xml:space="preserve"> is not intended for SON purpose. </w:t>
      </w:r>
    </w:p>
    <w:p w14:paraId="1FF4771D" w14:textId="24D4C8A1" w:rsidR="00296D13" w:rsidRPr="00045464" w:rsidRDefault="00296D13" w:rsidP="00296D13">
      <w:pPr>
        <w:spacing w:after="120"/>
        <w:ind w:rightChars="100" w:right="200"/>
        <w:jc w:val="both"/>
        <w:rPr>
          <w:rFonts w:eastAsiaTheme="minorEastAsia"/>
        </w:rPr>
      </w:pPr>
      <w:r>
        <w:rPr>
          <w:rFonts w:eastAsiaTheme="minorEastAsia"/>
        </w:rPr>
        <w:lastRenderedPageBreak/>
        <w:t>For NE-DC scenario, the UE report the LTE SCG failure information to NR MN node, and then the NR MN node may further forward the LTE SCG failure information to LTE SN node</w:t>
      </w:r>
      <w:r>
        <w:rPr>
          <w:rFonts w:eastAsiaTheme="minorEastAsia" w:hint="eastAsia"/>
        </w:rPr>
        <w:t>.</w:t>
      </w:r>
      <w:r>
        <w:rPr>
          <w:rFonts w:eastAsiaTheme="minorEastAsia"/>
        </w:rPr>
        <w:t xml:space="preserve"> Therefore, the </w:t>
      </w:r>
      <w:r>
        <w:rPr>
          <w:i/>
          <w:lang w:eastAsia="x-none"/>
        </w:rPr>
        <w:t>SCGFailureInformationEUTRA</w:t>
      </w:r>
      <w:r>
        <w:rPr>
          <w:lang w:eastAsia="x-none"/>
        </w:rPr>
        <w:t xml:space="preserve"> message </w:t>
      </w:r>
      <w:r>
        <w:rPr>
          <w:rFonts w:eastAsiaTheme="minorEastAsia"/>
        </w:rPr>
        <w:t>in NR RRC spec</w:t>
      </w:r>
      <w:r>
        <w:rPr>
          <w:lang w:eastAsia="x-none"/>
        </w:rPr>
        <w:t xml:space="preserve"> needs to be enhanced accordingly.</w:t>
      </w:r>
    </w:p>
    <w:p w14:paraId="608A2E86" w14:textId="34999CA2" w:rsidR="00463021" w:rsidRDefault="00296D13" w:rsidP="00463021">
      <w:pPr>
        <w:spacing w:after="120"/>
        <w:ind w:rightChars="100" w:right="200"/>
        <w:jc w:val="both"/>
        <w:rPr>
          <w:rFonts w:eastAsiaTheme="minorEastAsia"/>
        </w:rPr>
      </w:pPr>
      <w:r w:rsidRPr="003838E1">
        <w:rPr>
          <w:rFonts w:eastAsiaTheme="minorEastAsia"/>
        </w:rPr>
        <w:t>At this moment, we obse</w:t>
      </w:r>
      <w:r>
        <w:rPr>
          <w:rFonts w:eastAsiaTheme="minorEastAsia"/>
        </w:rPr>
        <w:t>r</w:t>
      </w:r>
      <w:r w:rsidRPr="003838E1">
        <w:rPr>
          <w:rFonts w:eastAsiaTheme="minorEastAsia"/>
        </w:rPr>
        <w:t>ve</w:t>
      </w:r>
      <w:r>
        <w:rPr>
          <w:rFonts w:eastAsiaTheme="minorEastAsia"/>
        </w:rPr>
        <w:t xml:space="preserve"> </w:t>
      </w:r>
      <w:r>
        <w:rPr>
          <w:rFonts w:eastAsiaTheme="minorEastAsia" w:hint="eastAsia"/>
        </w:rPr>
        <w:t>tha</w:t>
      </w:r>
      <w:r>
        <w:rPr>
          <w:rFonts w:eastAsiaTheme="minorEastAsia"/>
        </w:rPr>
        <w:t>t it is a shared understanding that the impact on the LTE specification should be avoided. So RAN2 decide whether to impact the LTE specification for EN-DC scenario.</w:t>
      </w:r>
    </w:p>
    <w:p w14:paraId="705DF434" w14:textId="77777777" w:rsidR="000F2563" w:rsidRDefault="000F2563" w:rsidP="00ED3CAA">
      <w:pPr>
        <w:pStyle w:val="Observation"/>
      </w:pPr>
      <w:r>
        <w:t xml:space="preserve">For EN-DC case, the forwarding of enhanced NR SCG failure information </w:t>
      </w:r>
      <w:r>
        <w:rPr>
          <w:rFonts w:hint="eastAsia"/>
        </w:rPr>
        <w:t>may</w:t>
      </w:r>
      <w:r>
        <w:t xml:space="preserve"> impact LTE specification, i.e TS 36.423.</w:t>
      </w:r>
    </w:p>
    <w:p w14:paraId="5F6E5CE2" w14:textId="77777777" w:rsidR="000F2563" w:rsidRPr="003850DA" w:rsidRDefault="000F2563" w:rsidP="00ED3CAA">
      <w:pPr>
        <w:pStyle w:val="Observation"/>
      </w:pPr>
      <w:r>
        <w:t xml:space="preserve">For NE-DC case, there is no RAN3 impact </w:t>
      </w:r>
      <w:r>
        <w:rPr>
          <w:rFonts w:hint="eastAsia"/>
        </w:rPr>
        <w:t>regarding</w:t>
      </w:r>
      <w:r>
        <w:t xml:space="preserve"> </w:t>
      </w:r>
      <w:r>
        <w:rPr>
          <w:rFonts w:hint="eastAsia"/>
        </w:rPr>
        <w:t>the</w:t>
      </w:r>
      <w:r>
        <w:t xml:space="preserve"> </w:t>
      </w:r>
      <w:r>
        <w:rPr>
          <w:rFonts w:hint="eastAsia"/>
        </w:rPr>
        <w:t>forwarding</w:t>
      </w:r>
      <w:r>
        <w:t xml:space="preserve"> of SCG </w:t>
      </w:r>
      <w:r>
        <w:rPr>
          <w:rFonts w:hint="eastAsia"/>
        </w:rPr>
        <w:t>failure</w:t>
      </w:r>
      <w:r>
        <w:t xml:space="preserve"> I</w:t>
      </w:r>
      <w:r>
        <w:rPr>
          <w:rFonts w:hint="eastAsia"/>
        </w:rPr>
        <w:t>nformation</w:t>
      </w:r>
      <w:r>
        <w:t xml:space="preserve"> if RAN2 agree to enhance the NR-RRC spec</w:t>
      </w:r>
      <w:r>
        <w:rPr>
          <w:rFonts w:hint="eastAsia"/>
        </w:rPr>
        <w:t>.</w:t>
      </w:r>
    </w:p>
    <w:p w14:paraId="65A15D5F" w14:textId="2129BC12" w:rsidR="000F6634" w:rsidRDefault="000F6634" w:rsidP="00A95C66">
      <w:pPr>
        <w:pStyle w:val="Prop"/>
      </w:pPr>
      <w:bookmarkStart w:id="33" w:name="_Toc163054061"/>
      <w:bookmarkStart w:id="34" w:name="_Toc163465120"/>
      <w:bookmarkStart w:id="35" w:name="_Toc163465157"/>
      <w:bookmarkStart w:id="36" w:name="_Toc163465322"/>
      <w:bookmarkStart w:id="37" w:name="_Toc163478000"/>
      <w:bookmarkStart w:id="38" w:name="_Toc163481839"/>
      <w:r>
        <w:t>RAN3 should ask RAN2 whether EN-DC</w:t>
      </w:r>
      <w:r w:rsidR="001D4217">
        <w:t xml:space="preserve"> and NE-DC</w:t>
      </w:r>
      <w:r>
        <w:t xml:space="preserve"> scenarios should be supported for </w:t>
      </w:r>
      <w:r w:rsidRPr="000F6634">
        <w:t>MRO for MR-DC SCG failure</w:t>
      </w:r>
      <w:r>
        <w:t>.</w:t>
      </w:r>
      <w:bookmarkEnd w:id="33"/>
      <w:bookmarkEnd w:id="34"/>
      <w:bookmarkEnd w:id="35"/>
      <w:bookmarkEnd w:id="36"/>
      <w:bookmarkEnd w:id="37"/>
      <w:bookmarkEnd w:id="38"/>
    </w:p>
    <w:p w14:paraId="12C51211" w14:textId="14646854" w:rsidR="00CD56C1" w:rsidRDefault="00296D13" w:rsidP="00A95C66">
      <w:pPr>
        <w:pStyle w:val="Prop"/>
      </w:pPr>
      <w:bookmarkStart w:id="39" w:name="_Toc163465158"/>
      <w:bookmarkStart w:id="40" w:name="_Toc163465121"/>
      <w:bookmarkStart w:id="41" w:name="_Toc163465122"/>
      <w:bookmarkStart w:id="42" w:name="_Toc163054062"/>
      <w:bookmarkStart w:id="43" w:name="_Toc163465159"/>
      <w:bookmarkStart w:id="44" w:name="_Toc163465323"/>
      <w:bookmarkStart w:id="45" w:name="_Toc163478001"/>
      <w:bookmarkStart w:id="46" w:name="_Toc163481840"/>
      <w:bookmarkEnd w:id="39"/>
      <w:bookmarkEnd w:id="40"/>
      <w:bookmarkEnd w:id="41"/>
      <w:r>
        <w:t xml:space="preserve">Proposal </w:t>
      </w:r>
      <w:r w:rsidR="00F95AEE">
        <w:t>5</w:t>
      </w:r>
      <w:r w:rsidRPr="00CB7602">
        <w:t xml:space="preserve">: </w:t>
      </w:r>
      <w:bookmarkStart w:id="47" w:name="_Toc163465123"/>
      <w:r w:rsidR="000F6634">
        <w:t xml:space="preserve">After RAN2 confirm, </w:t>
      </w:r>
      <w:r w:rsidRPr="005545D4">
        <w:t>RAN</w:t>
      </w:r>
      <w:r w:rsidR="00F92531">
        <w:t>3</w:t>
      </w:r>
      <w:r w:rsidRPr="005545D4">
        <w:t xml:space="preserve"> </w:t>
      </w:r>
      <w:r w:rsidR="001D4217">
        <w:t>to further evaluate possible solutions</w:t>
      </w:r>
      <w:r w:rsidR="00F92531">
        <w:rPr>
          <w:rFonts w:hint="eastAsia"/>
        </w:rPr>
        <w:t>.</w:t>
      </w:r>
      <w:bookmarkEnd w:id="42"/>
      <w:bookmarkEnd w:id="43"/>
      <w:bookmarkEnd w:id="44"/>
      <w:bookmarkEnd w:id="45"/>
      <w:bookmarkEnd w:id="46"/>
      <w:bookmarkEnd w:id="47"/>
      <w:r w:rsidR="000F2563" w:rsidDel="000F2563">
        <w:t xml:space="preserve"> </w:t>
      </w:r>
      <w:bookmarkStart w:id="48" w:name="_Toc163465124"/>
      <w:bookmarkEnd w:id="48"/>
    </w:p>
    <w:p w14:paraId="4B396A51" w14:textId="77777777" w:rsidR="00A053D1" w:rsidRPr="003F2D43" w:rsidRDefault="00827357" w:rsidP="002F5A7E">
      <w:pPr>
        <w:pStyle w:val="Heading1"/>
        <w:ind w:left="0" w:firstLine="0"/>
      </w:pPr>
      <w:r w:rsidRPr="003F2D43">
        <w:t>3   Conclusion</w:t>
      </w:r>
    </w:p>
    <w:p w14:paraId="6D8BF266" w14:textId="081C6563" w:rsidR="00EA64D6" w:rsidRDefault="007575E1">
      <w:pPr>
        <w:spacing w:after="0"/>
        <w:rPr>
          <w:rFonts w:eastAsiaTheme="minorEastAsia"/>
        </w:rPr>
      </w:pPr>
      <w:r w:rsidRPr="003F2D43">
        <w:rPr>
          <w:rFonts w:eastAsiaTheme="minorEastAsia" w:hint="eastAsia"/>
        </w:rPr>
        <w:t>I</w:t>
      </w:r>
      <w:r w:rsidRPr="003F2D43">
        <w:rPr>
          <w:rFonts w:eastAsiaTheme="minorEastAsia"/>
        </w:rPr>
        <w:t xml:space="preserve">n this paper, we </w:t>
      </w:r>
      <w:r w:rsidR="00D033FA">
        <w:rPr>
          <w:rFonts w:eastAsiaTheme="minorEastAsia"/>
        </w:rPr>
        <w:t xml:space="preserve">provide the </w:t>
      </w:r>
      <w:r w:rsidR="004E5FE2">
        <w:rPr>
          <w:rFonts w:eastAsiaTheme="minorEastAsia"/>
        </w:rPr>
        <w:t>following proposals:</w:t>
      </w:r>
    </w:p>
    <w:p w14:paraId="55DB93A1" w14:textId="77777777" w:rsidR="00A95C66" w:rsidRDefault="000F6634">
      <w:pPr>
        <w:pStyle w:val="TOC1"/>
        <w:rPr>
          <w:rFonts w:asciiTheme="minorHAnsi" w:eastAsiaTheme="minorEastAsia" w:hAnsiTheme="minorHAnsi" w:cstheme="minorBidi"/>
          <w:b w:val="0"/>
          <w:szCs w:val="22"/>
          <w:lang/>
        </w:rPr>
      </w:pPr>
      <w:r>
        <w:rPr>
          <w:lang w:eastAsia="zh-CN"/>
        </w:rPr>
        <w:fldChar w:fldCharType="begin"/>
      </w:r>
      <w:r>
        <w:rPr>
          <w:lang w:eastAsia="zh-CN"/>
        </w:rPr>
        <w:instrText xml:space="preserve"> TOC \n \p " " \t "Prop,1" </w:instrText>
      </w:r>
      <w:r>
        <w:rPr>
          <w:lang w:eastAsia="zh-CN"/>
        </w:rPr>
        <w:fldChar w:fldCharType="separate"/>
      </w:r>
      <w:r w:rsidR="00A95C66">
        <w:t>Proposal 1</w:t>
      </w:r>
      <w:r w:rsidR="00A95C66">
        <w:rPr>
          <w:rFonts w:asciiTheme="minorHAnsi" w:eastAsiaTheme="minorEastAsia" w:hAnsiTheme="minorHAnsi" w:cstheme="minorBidi"/>
          <w:b w:val="0"/>
          <w:szCs w:val="22"/>
          <w:lang/>
        </w:rPr>
        <w:tab/>
      </w:r>
      <w:r w:rsidR="00A95C66">
        <w:t>RAN3 to justify the need of collecting the RSRP threshold and data volume threshold for triggering the RA-based SDT.</w:t>
      </w:r>
    </w:p>
    <w:p w14:paraId="63BB77E1" w14:textId="77777777" w:rsidR="00A95C66" w:rsidRDefault="00A95C66">
      <w:pPr>
        <w:pStyle w:val="TOC1"/>
        <w:rPr>
          <w:rFonts w:asciiTheme="minorHAnsi" w:eastAsiaTheme="minorEastAsia" w:hAnsiTheme="minorHAnsi" w:cstheme="minorBidi"/>
          <w:b w:val="0"/>
          <w:szCs w:val="22"/>
          <w:lang/>
        </w:rPr>
      </w:pPr>
      <w:r>
        <w:t>Proposal 2</w:t>
      </w:r>
      <w:r>
        <w:rPr>
          <w:rFonts w:asciiTheme="minorHAnsi" w:eastAsiaTheme="minorEastAsia" w:hAnsiTheme="minorHAnsi" w:cstheme="minorBidi"/>
          <w:b w:val="0"/>
          <w:szCs w:val="22"/>
          <w:lang/>
        </w:rPr>
        <w:tab/>
      </w:r>
      <w:r>
        <w:t>The objective of UHI enhancement for SCG deactivation is to enable the optimization of efficient allocation and release of SCG resource when the target MN/SN receives the history SCG deactivation information.</w:t>
      </w:r>
    </w:p>
    <w:p w14:paraId="29F2DE43" w14:textId="77777777" w:rsidR="00A95C66" w:rsidRDefault="00A95C66">
      <w:pPr>
        <w:pStyle w:val="TOC1"/>
        <w:rPr>
          <w:rFonts w:asciiTheme="minorHAnsi" w:eastAsiaTheme="minorEastAsia" w:hAnsiTheme="minorHAnsi" w:cstheme="minorBidi"/>
          <w:b w:val="0"/>
          <w:szCs w:val="22"/>
          <w:lang/>
        </w:rPr>
      </w:pPr>
      <w:r>
        <w:t>Proposal 3</w:t>
      </w:r>
      <w:r>
        <w:rPr>
          <w:rFonts w:asciiTheme="minorHAnsi" w:eastAsiaTheme="minorEastAsia" w:hAnsiTheme="minorHAnsi" w:cstheme="minorBidi"/>
          <w:b w:val="0"/>
          <w:szCs w:val="22"/>
          <w:lang/>
        </w:rPr>
        <w:tab/>
      </w:r>
      <w:r>
        <w:t>RAN3 to discuss the granularity of information regarding the SCG deactivation information.</w:t>
      </w:r>
    </w:p>
    <w:p w14:paraId="65457CEA" w14:textId="77777777" w:rsidR="00A95C66" w:rsidRDefault="00A95C66">
      <w:pPr>
        <w:pStyle w:val="TOC1"/>
        <w:rPr>
          <w:rFonts w:asciiTheme="minorHAnsi" w:eastAsiaTheme="minorEastAsia" w:hAnsiTheme="minorHAnsi" w:cstheme="minorBidi"/>
          <w:b w:val="0"/>
          <w:szCs w:val="22"/>
          <w:lang/>
        </w:rPr>
      </w:pPr>
      <w:r>
        <w:t>Proposal 4</w:t>
      </w:r>
      <w:r>
        <w:rPr>
          <w:rFonts w:asciiTheme="minorHAnsi" w:eastAsiaTheme="minorEastAsia" w:hAnsiTheme="minorHAnsi" w:cstheme="minorBidi"/>
          <w:b w:val="0"/>
          <w:szCs w:val="22"/>
          <w:lang/>
        </w:rPr>
        <w:tab/>
      </w:r>
      <w:r>
        <w:t>Once the network based solution is agreed, RAN2 should be consulted to determine if it is feasible to also add this to the UHI reported from the UE.</w:t>
      </w:r>
    </w:p>
    <w:p w14:paraId="35D60F46" w14:textId="77777777" w:rsidR="00A95C66" w:rsidRDefault="00A95C66">
      <w:pPr>
        <w:pStyle w:val="TOC1"/>
        <w:rPr>
          <w:rFonts w:asciiTheme="minorHAnsi" w:eastAsiaTheme="minorEastAsia" w:hAnsiTheme="minorHAnsi" w:cstheme="minorBidi"/>
          <w:b w:val="0"/>
          <w:szCs w:val="22"/>
          <w:lang/>
        </w:rPr>
      </w:pPr>
      <w:r>
        <w:t>Proposal 5</w:t>
      </w:r>
      <w:r>
        <w:rPr>
          <w:rFonts w:asciiTheme="minorHAnsi" w:eastAsiaTheme="minorEastAsia" w:hAnsiTheme="minorHAnsi" w:cstheme="minorBidi"/>
          <w:b w:val="0"/>
          <w:szCs w:val="22"/>
          <w:lang/>
        </w:rPr>
        <w:tab/>
      </w:r>
      <w:r>
        <w:t>RAN3 should ask RAN2 whether EN-DC and NE-DC scenarios should be supported for MRO for MR-DC SCG failure.</w:t>
      </w:r>
    </w:p>
    <w:p w14:paraId="7014CA57" w14:textId="77777777" w:rsidR="00A95C66" w:rsidRDefault="00A95C66">
      <w:pPr>
        <w:pStyle w:val="TOC1"/>
        <w:rPr>
          <w:rFonts w:asciiTheme="minorHAnsi" w:eastAsiaTheme="minorEastAsia" w:hAnsiTheme="minorHAnsi" w:cstheme="minorBidi"/>
          <w:b w:val="0"/>
          <w:szCs w:val="22"/>
          <w:lang/>
        </w:rPr>
      </w:pPr>
      <w:r>
        <w:t>Proposal 6</w:t>
      </w:r>
      <w:r>
        <w:rPr>
          <w:rFonts w:asciiTheme="minorHAnsi" w:eastAsiaTheme="minorEastAsia" w:hAnsiTheme="minorHAnsi" w:cstheme="minorBidi"/>
          <w:b w:val="0"/>
          <w:szCs w:val="22"/>
          <w:lang/>
        </w:rPr>
        <w:tab/>
      </w:r>
      <w:r>
        <w:t>Proposal 5: After RAN2 confirm, RAN3 to further evaluate possible solutions.</w:t>
      </w:r>
    </w:p>
    <w:p w14:paraId="5D11EE06" w14:textId="68A36A9B" w:rsidR="00ED3CAA" w:rsidRDefault="000F6634" w:rsidP="000F2563">
      <w:pPr>
        <w:pStyle w:val="Header"/>
        <w:tabs>
          <w:tab w:val="right" w:pos="9639"/>
        </w:tabs>
      </w:pPr>
      <w:r>
        <w:fldChar w:fldCharType="end"/>
      </w:r>
      <w:bookmarkStart w:id="49" w:name="_Hlk163053145"/>
    </w:p>
    <w:p w14:paraId="13E54CBA" w14:textId="77777777" w:rsidR="00ED3CAA" w:rsidRPr="003F2D43" w:rsidRDefault="00ED3CAA" w:rsidP="00ED3CAA">
      <w:pPr>
        <w:pStyle w:val="Heading1"/>
      </w:pPr>
      <w:r w:rsidRPr="003F2D43">
        <w:t>4   Reference</w:t>
      </w:r>
    </w:p>
    <w:p w14:paraId="5EBD284D" w14:textId="77777777" w:rsidR="00ED3CAA" w:rsidRPr="00D033FA" w:rsidRDefault="00ED3CAA" w:rsidP="00ED3CAA">
      <w:pPr>
        <w:spacing w:after="0"/>
        <w:rPr>
          <w:rFonts w:eastAsiaTheme="minorEastAsia"/>
          <w:sz w:val="22"/>
          <w:szCs w:val="22"/>
        </w:rPr>
      </w:pPr>
      <w:r w:rsidRPr="003F2D43">
        <w:rPr>
          <w:rFonts w:eastAsiaTheme="minorEastAsia" w:hint="eastAsia"/>
          <w:sz w:val="22"/>
          <w:szCs w:val="22"/>
        </w:rPr>
        <w:t>[</w:t>
      </w:r>
      <w:r w:rsidRPr="003F2D43">
        <w:rPr>
          <w:rFonts w:eastAsiaTheme="minorEastAsia"/>
          <w:sz w:val="22"/>
          <w:szCs w:val="22"/>
        </w:rPr>
        <w:t xml:space="preserve">1] </w:t>
      </w:r>
      <w:r>
        <w:rPr>
          <w:rFonts w:eastAsiaTheme="minorEastAsia"/>
          <w:sz w:val="22"/>
          <w:szCs w:val="22"/>
        </w:rPr>
        <w:t xml:space="preserve">RP-234028, </w:t>
      </w:r>
      <w:r w:rsidRPr="00D033FA">
        <w:rPr>
          <w:rFonts w:eastAsiaTheme="minorEastAsia" w:hint="eastAsia"/>
          <w:sz w:val="22"/>
          <w:szCs w:val="22"/>
        </w:rPr>
        <w:t>New WID: Data collection for SON (Self-Organising Networks)/MDT (Minimization of Drive Tests) in NR standalone and MR-DC (Multi-Radio Dual Connectivity) Phase 4</w:t>
      </w:r>
      <w:r>
        <w:rPr>
          <w:rFonts w:eastAsiaTheme="minorEastAsia"/>
          <w:sz w:val="22"/>
          <w:szCs w:val="22"/>
        </w:rPr>
        <w:t>.</w:t>
      </w:r>
    </w:p>
    <w:p w14:paraId="19BFFCAC" w14:textId="77777777" w:rsidR="00ED3CAA" w:rsidRDefault="00ED3CAA" w:rsidP="00ED3CAA">
      <w:pPr>
        <w:pStyle w:val="BodyText"/>
        <w:rPr>
          <w:rFonts w:eastAsiaTheme="minorEastAsia"/>
          <w:sz w:val="22"/>
          <w:szCs w:val="22"/>
        </w:rPr>
      </w:pPr>
      <w:r w:rsidRPr="00045464">
        <w:rPr>
          <w:rFonts w:eastAsiaTheme="minorEastAsia"/>
          <w:sz w:val="22"/>
          <w:szCs w:val="22"/>
        </w:rPr>
        <w:t>[</w:t>
      </w:r>
      <w:r>
        <w:rPr>
          <w:rFonts w:eastAsiaTheme="minorEastAsia"/>
          <w:sz w:val="22"/>
          <w:szCs w:val="22"/>
        </w:rPr>
        <w:t>2</w:t>
      </w:r>
      <w:r w:rsidRPr="00045464">
        <w:rPr>
          <w:rFonts w:eastAsiaTheme="minorEastAsia"/>
          <w:sz w:val="22"/>
          <w:szCs w:val="22"/>
        </w:rPr>
        <w:t xml:space="preserve">] TS 38.331, “Radio Resource Control (RRC) protocol specification (Release 17)” </w:t>
      </w:r>
      <w:r>
        <w:rPr>
          <w:rFonts w:eastAsiaTheme="minorEastAsia"/>
          <w:sz w:val="22"/>
          <w:szCs w:val="22"/>
        </w:rPr>
        <w:t>.</w:t>
      </w:r>
    </w:p>
    <w:p w14:paraId="754D1F22" w14:textId="3EA37455" w:rsidR="00ED3CAA" w:rsidRPr="00304CD2" w:rsidRDefault="00ED3CAA" w:rsidP="00ED3CAA">
      <w:pPr>
        <w:pStyle w:val="Heading1"/>
        <w:rPr>
          <w:rFonts w:eastAsiaTheme="minorEastAsia"/>
        </w:rPr>
      </w:pPr>
      <w:r w:rsidRPr="00ED3CAA">
        <w:rPr>
          <w:rFonts w:eastAsiaTheme="minorEastAsia"/>
        </w:rPr>
        <w:t>Annex: LS to RAN2</w:t>
      </w:r>
    </w:p>
    <w:p w14:paraId="14B05983" w14:textId="2317A497" w:rsidR="000F2563" w:rsidRPr="000F4E43" w:rsidRDefault="000F2563" w:rsidP="000F2563">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#123-bis</w:t>
      </w:r>
      <w:r w:rsidRPr="000F4E43">
        <w:rPr>
          <w:rFonts w:cs="Arial"/>
          <w:bCs/>
          <w:sz w:val="24"/>
          <w:szCs w:val="24"/>
        </w:rPr>
        <w:tab/>
      </w:r>
      <w:r>
        <w:rPr>
          <w:rFonts w:cs="Arial"/>
          <w:bCs/>
          <w:sz w:val="24"/>
          <w:szCs w:val="24"/>
        </w:rPr>
        <w:t xml:space="preserve">TDoc </w:t>
      </w:r>
      <w:r w:rsidRPr="00795D8B">
        <w:rPr>
          <w:rFonts w:cs="Arial"/>
          <w:bCs/>
          <w:sz w:val="24"/>
          <w:szCs w:val="24"/>
        </w:rPr>
        <w:t>&lt;TDoc#&gt;</w:t>
      </w:r>
    </w:p>
    <w:p w14:paraId="4C66A5CB" w14:textId="77777777" w:rsidR="000F2563" w:rsidRPr="004C6888" w:rsidRDefault="000F2563" w:rsidP="000F2563">
      <w:pPr>
        <w:pStyle w:val="Header"/>
        <w:tabs>
          <w:tab w:val="right" w:pos="9639"/>
        </w:tabs>
        <w:rPr>
          <w:rFonts w:cs="Arial"/>
          <w:bCs/>
          <w:sz w:val="24"/>
          <w:szCs w:val="24"/>
        </w:rPr>
      </w:pPr>
      <w:bookmarkStart w:id="50" w:name="_Hlk160525530"/>
      <w:r w:rsidRPr="008B38C0">
        <w:rPr>
          <w:rFonts w:cs="Arial"/>
          <w:sz w:val="24"/>
          <w:szCs w:val="24"/>
        </w:rPr>
        <w:t>Changsha, C</w:t>
      </w:r>
      <w:r>
        <w:rPr>
          <w:rFonts w:cs="Arial"/>
          <w:sz w:val="24"/>
          <w:szCs w:val="24"/>
        </w:rPr>
        <w:t xml:space="preserve">hina, 15 – 19 April, </w:t>
      </w:r>
      <w:r w:rsidRPr="00305EF7">
        <w:rPr>
          <w:rFonts w:cs="Arial"/>
          <w:sz w:val="24"/>
          <w:szCs w:val="24"/>
        </w:rPr>
        <w:t>202</w:t>
      </w:r>
      <w:r>
        <w:rPr>
          <w:rFonts w:cs="Arial"/>
          <w:sz w:val="24"/>
          <w:szCs w:val="24"/>
        </w:rPr>
        <w:t>4</w:t>
      </w:r>
    </w:p>
    <w:bookmarkEnd w:id="50"/>
    <w:p w14:paraId="18F34739" w14:textId="77777777" w:rsidR="000F2563" w:rsidRDefault="000F2563" w:rsidP="000F2563">
      <w:pPr>
        <w:rPr>
          <w:rFonts w:ascii="Arial" w:hAnsi="Arial" w:cs="Arial"/>
        </w:rPr>
      </w:pPr>
    </w:p>
    <w:p w14:paraId="48000D74" w14:textId="0010A364" w:rsidR="000F2563" w:rsidRPr="004E3939" w:rsidRDefault="000F2563" w:rsidP="000F2563">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 xml:space="preserve">LS on </w:t>
      </w:r>
      <w:r w:rsidR="00176BBB" w:rsidRPr="00176BBB">
        <w:rPr>
          <w:rFonts w:ascii="Arial" w:hAnsi="Arial" w:cs="Arial"/>
          <w:b/>
          <w:sz w:val="22"/>
          <w:szCs w:val="22"/>
        </w:rPr>
        <w:t>MRO for SCG failure</w:t>
      </w:r>
      <w:r w:rsidR="00176BBB">
        <w:rPr>
          <w:rFonts w:ascii="Arial" w:hAnsi="Arial" w:cs="Arial"/>
          <w:b/>
          <w:sz w:val="22"/>
          <w:szCs w:val="22"/>
        </w:rPr>
        <w:t xml:space="preserve"> in </w:t>
      </w:r>
      <w:r w:rsidR="00176BBB" w:rsidRPr="00176BBB">
        <w:rPr>
          <w:rFonts w:ascii="Arial" w:hAnsi="Arial" w:cs="Arial"/>
          <w:b/>
          <w:sz w:val="22"/>
          <w:szCs w:val="22"/>
        </w:rPr>
        <w:t>EN-DC</w:t>
      </w:r>
      <w:r w:rsidR="00176BBB">
        <w:rPr>
          <w:rFonts w:ascii="Arial" w:hAnsi="Arial" w:cs="Arial"/>
          <w:b/>
          <w:sz w:val="22"/>
          <w:szCs w:val="22"/>
        </w:rPr>
        <w:t xml:space="preserve"> and </w:t>
      </w:r>
      <w:r w:rsidR="00176BBB" w:rsidRPr="00176BBB">
        <w:rPr>
          <w:rFonts w:ascii="Arial" w:hAnsi="Arial" w:cs="Arial"/>
          <w:b/>
          <w:sz w:val="22"/>
          <w:szCs w:val="22"/>
        </w:rPr>
        <w:t>NE-DC</w:t>
      </w:r>
    </w:p>
    <w:p w14:paraId="4510FA60" w14:textId="1958DE31" w:rsidR="000F2563" w:rsidRPr="00B97703" w:rsidRDefault="000F2563" w:rsidP="000F2563">
      <w:pPr>
        <w:spacing w:after="60"/>
        <w:ind w:left="1985" w:hanging="1985"/>
        <w:rPr>
          <w:rFonts w:ascii="Arial" w:hAnsi="Arial" w:cs="Arial"/>
          <w:b/>
          <w:bCs/>
          <w:sz w:val="22"/>
          <w:szCs w:val="22"/>
        </w:rPr>
      </w:pPr>
      <w:bookmarkStart w:id="51" w:name="OLE_LINK57"/>
      <w:bookmarkStart w:id="52" w:name="OLE_LINK58"/>
      <w:r w:rsidRPr="004E3939">
        <w:rPr>
          <w:rFonts w:ascii="Arial" w:hAnsi="Arial" w:cs="Arial"/>
          <w:b/>
          <w:sz w:val="22"/>
          <w:szCs w:val="22"/>
        </w:rPr>
        <w:t>Response to:</w:t>
      </w:r>
      <w:r w:rsidRPr="004E3939">
        <w:rPr>
          <w:rFonts w:ascii="Arial" w:hAnsi="Arial" w:cs="Arial"/>
          <w:b/>
          <w:bCs/>
          <w:sz w:val="22"/>
          <w:szCs w:val="22"/>
        </w:rPr>
        <w:tab/>
      </w:r>
    </w:p>
    <w:p w14:paraId="3762098B" w14:textId="1A10ABCF" w:rsidR="000F2563" w:rsidRPr="004E3939" w:rsidRDefault="000F2563" w:rsidP="000F2563">
      <w:pPr>
        <w:spacing w:after="60"/>
        <w:ind w:left="1985" w:hanging="1985"/>
        <w:rPr>
          <w:rFonts w:ascii="Arial" w:hAnsi="Arial" w:cs="Arial"/>
          <w:b/>
          <w:bCs/>
          <w:sz w:val="22"/>
          <w:szCs w:val="22"/>
        </w:rPr>
      </w:pPr>
      <w:bookmarkStart w:id="53" w:name="OLE_LINK59"/>
      <w:bookmarkStart w:id="54" w:name="OLE_LINK60"/>
      <w:bookmarkStart w:id="55" w:name="OLE_LINK61"/>
      <w:bookmarkEnd w:id="51"/>
      <w:bookmarkEnd w:id="52"/>
      <w:r w:rsidRPr="004E3939">
        <w:rPr>
          <w:rFonts w:ascii="Arial" w:hAnsi="Arial" w:cs="Arial"/>
          <w:b/>
          <w:sz w:val="22"/>
          <w:szCs w:val="22"/>
        </w:rPr>
        <w:t>Release:</w:t>
      </w:r>
      <w:r w:rsidRPr="004E3939">
        <w:rPr>
          <w:rFonts w:ascii="Arial" w:hAnsi="Arial" w:cs="Arial"/>
          <w:b/>
          <w:bCs/>
          <w:sz w:val="22"/>
          <w:szCs w:val="22"/>
        </w:rPr>
        <w:tab/>
      </w:r>
      <w:r w:rsidR="00176BBB" w:rsidRPr="00176BBB">
        <w:rPr>
          <w:rFonts w:ascii="Arial" w:hAnsi="Arial" w:cs="Arial"/>
          <w:b/>
          <w:sz w:val="22"/>
          <w:szCs w:val="22"/>
        </w:rPr>
        <w:t>Rel-19</w:t>
      </w:r>
    </w:p>
    <w:bookmarkEnd w:id="53"/>
    <w:bookmarkEnd w:id="54"/>
    <w:bookmarkEnd w:id="55"/>
    <w:p w14:paraId="4714FD13" w14:textId="3285DB3D" w:rsidR="000F2563" w:rsidRPr="00B97703" w:rsidRDefault="000F2563" w:rsidP="000F256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74E42" w:rsidRPr="00874E42">
        <w:rPr>
          <w:rFonts w:ascii="Arial" w:hAnsi="Arial" w:cs="Arial"/>
          <w:b/>
          <w:sz w:val="22"/>
          <w:szCs w:val="22"/>
        </w:rPr>
        <w:t>NR_ENDC_SON_MDT_Ph4-Core</w:t>
      </w:r>
      <w:r w:rsidRPr="00874E42">
        <w:rPr>
          <w:rFonts w:ascii="Arial" w:hAnsi="Arial" w:cs="Arial"/>
          <w:b/>
          <w:sz w:val="22"/>
          <w:szCs w:val="22"/>
        </w:rPr>
        <w:t xml:space="preserve"> </w:t>
      </w:r>
    </w:p>
    <w:p w14:paraId="0B3DAB1B" w14:textId="77777777" w:rsidR="000F2563" w:rsidRPr="004E3939" w:rsidRDefault="000F2563" w:rsidP="000F2563">
      <w:pPr>
        <w:spacing w:after="60"/>
        <w:ind w:left="1985" w:hanging="1985"/>
        <w:rPr>
          <w:rFonts w:ascii="Arial" w:hAnsi="Arial" w:cs="Arial"/>
          <w:b/>
          <w:sz w:val="22"/>
          <w:szCs w:val="22"/>
        </w:rPr>
      </w:pPr>
    </w:p>
    <w:p w14:paraId="57D9DF2F" w14:textId="77777777" w:rsidR="000F2563" w:rsidRPr="00412CCB" w:rsidRDefault="000F2563" w:rsidP="000F2563">
      <w:pPr>
        <w:pStyle w:val="Source"/>
        <w:rPr>
          <w:sz w:val="22"/>
          <w:szCs w:val="22"/>
        </w:rPr>
      </w:pPr>
      <w:r w:rsidRPr="00DA53A0">
        <w:rPr>
          <w:sz w:val="22"/>
          <w:szCs w:val="22"/>
        </w:rPr>
        <w:lastRenderedPageBreak/>
        <w:t>Source:</w:t>
      </w:r>
      <w:r w:rsidRPr="00DA53A0">
        <w:rPr>
          <w:sz w:val="22"/>
          <w:szCs w:val="22"/>
        </w:rPr>
        <w:tab/>
      </w:r>
      <w:r w:rsidRPr="00412CCB">
        <w:rPr>
          <w:sz w:val="22"/>
          <w:szCs w:val="22"/>
        </w:rPr>
        <w:t xml:space="preserve">Huawei </w:t>
      </w:r>
      <w:r w:rsidRPr="00412CCB">
        <w:rPr>
          <w:sz w:val="22"/>
          <w:szCs w:val="22"/>
          <w:highlight w:val="yellow"/>
        </w:rPr>
        <w:t>[will be RAN3]</w:t>
      </w:r>
    </w:p>
    <w:p w14:paraId="5C53E6A3" w14:textId="5C2085A3" w:rsidR="000F2563" w:rsidRPr="004E3939" w:rsidRDefault="000F2563" w:rsidP="000F256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74E42">
        <w:rPr>
          <w:rFonts w:ascii="Arial" w:hAnsi="Arial" w:cs="Arial"/>
          <w:b/>
          <w:sz w:val="22"/>
          <w:szCs w:val="22"/>
        </w:rPr>
        <w:t>RAN2</w:t>
      </w:r>
    </w:p>
    <w:p w14:paraId="19C3EFE1" w14:textId="140AF52E" w:rsidR="000F2563" w:rsidRPr="004E3939" w:rsidRDefault="000F2563" w:rsidP="000F2563">
      <w:pPr>
        <w:spacing w:after="60"/>
        <w:ind w:left="1985" w:hanging="1985"/>
        <w:rPr>
          <w:rFonts w:ascii="Arial" w:hAnsi="Arial" w:cs="Arial"/>
          <w:b/>
          <w:bCs/>
          <w:sz w:val="22"/>
          <w:szCs w:val="22"/>
        </w:rPr>
      </w:pPr>
      <w:bookmarkStart w:id="56" w:name="OLE_LINK45"/>
      <w:bookmarkStart w:id="57" w:name="OLE_LINK46"/>
      <w:r w:rsidRPr="004E3939">
        <w:rPr>
          <w:rFonts w:ascii="Arial" w:hAnsi="Arial" w:cs="Arial"/>
          <w:b/>
          <w:sz w:val="22"/>
          <w:szCs w:val="22"/>
        </w:rPr>
        <w:t>Cc:</w:t>
      </w:r>
      <w:r w:rsidRPr="004E3939">
        <w:rPr>
          <w:rFonts w:ascii="Arial" w:hAnsi="Arial" w:cs="Arial"/>
          <w:b/>
          <w:bCs/>
          <w:sz w:val="22"/>
          <w:szCs w:val="22"/>
        </w:rPr>
        <w:tab/>
      </w:r>
    </w:p>
    <w:bookmarkEnd w:id="56"/>
    <w:bookmarkEnd w:id="57"/>
    <w:p w14:paraId="0CD65D76" w14:textId="77777777" w:rsidR="000F2563" w:rsidRDefault="000F2563" w:rsidP="000F2563">
      <w:pPr>
        <w:spacing w:after="60"/>
        <w:ind w:left="1985" w:hanging="1985"/>
        <w:rPr>
          <w:rFonts w:ascii="Arial" w:hAnsi="Arial" w:cs="Arial"/>
          <w:bCs/>
        </w:rPr>
      </w:pPr>
    </w:p>
    <w:p w14:paraId="319B0F3B" w14:textId="5A9A14A1" w:rsidR="000F2563" w:rsidRPr="00874E42" w:rsidRDefault="000F2563" w:rsidP="00874E42">
      <w:pPr>
        <w:spacing w:after="60"/>
        <w:ind w:left="1985" w:hanging="1985"/>
        <w:rPr>
          <w:rFonts w:ascii="Arial" w:eastAsiaTheme="minorEastAsia"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74E42" w:rsidRPr="00874E42">
        <w:rPr>
          <w:rFonts w:ascii="Arial" w:hAnsi="Arial" w:cs="Arial"/>
          <w:b/>
          <w:bCs/>
          <w:sz w:val="22"/>
          <w:szCs w:val="22"/>
        </w:rPr>
        <w:t>henrik.olofsson@huawei.com</w:t>
      </w:r>
    </w:p>
    <w:p w14:paraId="24A40B79" w14:textId="77777777" w:rsidR="000F2563" w:rsidRPr="00383545" w:rsidRDefault="000F2563" w:rsidP="000F256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4458EDE9" w14:textId="77777777" w:rsidR="000F2563" w:rsidRDefault="000F2563" w:rsidP="000F2563">
      <w:pPr>
        <w:spacing w:after="60"/>
        <w:ind w:left="1985" w:hanging="1985"/>
        <w:rPr>
          <w:rFonts w:ascii="Arial" w:hAnsi="Arial" w:cs="Arial"/>
          <w:b/>
        </w:rPr>
      </w:pPr>
    </w:p>
    <w:p w14:paraId="22ABCC07" w14:textId="6416406C" w:rsidR="000F2563" w:rsidRDefault="000F2563" w:rsidP="000F2563">
      <w:pPr>
        <w:spacing w:after="60"/>
        <w:ind w:left="1985" w:hanging="1985"/>
        <w:rPr>
          <w:rFonts w:ascii="Arial" w:hAnsi="Arial" w:cs="Arial"/>
          <w:bCs/>
        </w:rPr>
      </w:pPr>
      <w:r>
        <w:rPr>
          <w:rFonts w:ascii="Arial" w:hAnsi="Arial" w:cs="Arial"/>
          <w:b/>
        </w:rPr>
        <w:t>Attachments:</w:t>
      </w:r>
      <w:r>
        <w:rPr>
          <w:rFonts w:ascii="Arial" w:hAnsi="Arial" w:cs="Arial"/>
          <w:bCs/>
        </w:rPr>
        <w:tab/>
      </w:r>
    </w:p>
    <w:p w14:paraId="33BEEDDA" w14:textId="77777777" w:rsidR="000F2563" w:rsidRDefault="000F2563" w:rsidP="000F2563">
      <w:pPr>
        <w:rPr>
          <w:rFonts w:ascii="Arial" w:hAnsi="Arial" w:cs="Arial"/>
        </w:rPr>
      </w:pPr>
    </w:p>
    <w:p w14:paraId="3EB79EB6" w14:textId="77777777" w:rsidR="000F2563" w:rsidRDefault="000F2563" w:rsidP="000F2563">
      <w:pPr>
        <w:pStyle w:val="Heading1"/>
      </w:pPr>
      <w:r>
        <w:t>1</w:t>
      </w:r>
      <w:r>
        <w:tab/>
        <w:t>Overall description</w:t>
      </w:r>
    </w:p>
    <w:p w14:paraId="43273D4A" w14:textId="2142506A" w:rsidR="00874E42" w:rsidRPr="00874E42" w:rsidRDefault="00874E42" w:rsidP="00874E42">
      <w:pPr>
        <w:rPr>
          <w:rFonts w:eastAsiaTheme="minorEastAsia"/>
        </w:rPr>
      </w:pPr>
      <w:r w:rsidRPr="00874E42">
        <w:rPr>
          <w:rFonts w:eastAsiaTheme="minorEastAsia"/>
        </w:rPr>
        <w:t xml:space="preserve">RAN3 has discussed </w:t>
      </w:r>
      <w:r w:rsidRPr="00874E42">
        <w:rPr>
          <w:rFonts w:eastAsiaTheme="minorEastAsia" w:hint="eastAsia"/>
        </w:rPr>
        <w:t>the</w:t>
      </w:r>
      <w:r w:rsidRPr="00874E42">
        <w:rPr>
          <w:rFonts w:eastAsiaTheme="minorEastAsia"/>
        </w:rPr>
        <w:t xml:space="preserve"> </w:t>
      </w:r>
      <w:r>
        <w:rPr>
          <w:rFonts w:eastAsiaTheme="minorEastAsia"/>
        </w:rPr>
        <w:t xml:space="preserve">MRO </w:t>
      </w:r>
      <w:r w:rsidRPr="00874E42">
        <w:rPr>
          <w:rFonts w:eastAsiaTheme="minorEastAsia"/>
        </w:rPr>
        <w:t>solution for SCG failure in EN-DC and NE-DC, respectively. RAN</w:t>
      </w:r>
      <w:r w:rsidR="00ED3CAA">
        <w:rPr>
          <w:rFonts w:eastAsiaTheme="minorEastAsia"/>
        </w:rPr>
        <w:t>3</w:t>
      </w:r>
      <w:r w:rsidRPr="00874E42">
        <w:rPr>
          <w:rFonts w:eastAsiaTheme="minorEastAsia"/>
        </w:rPr>
        <w:t xml:space="preserve"> has identified the following specification impact:</w:t>
      </w:r>
    </w:p>
    <w:p w14:paraId="43542BBA" w14:textId="12324546" w:rsidR="00874E42" w:rsidRDefault="00874E42" w:rsidP="00ED3CAA">
      <w:pPr>
        <w:pStyle w:val="B1"/>
        <w:rPr>
          <w:rFonts w:eastAsiaTheme="minorEastAsia"/>
        </w:rPr>
      </w:pPr>
      <w:r w:rsidRPr="00874E42">
        <w:rPr>
          <w:rFonts w:eastAsiaTheme="minorEastAsia" w:hint="eastAsia"/>
        </w:rPr>
        <w:t>1</w:t>
      </w:r>
      <w:r w:rsidRPr="00874E42">
        <w:rPr>
          <w:rFonts w:eastAsiaTheme="minorEastAsia"/>
        </w:rPr>
        <w:t xml:space="preserve">. </w:t>
      </w:r>
      <w:r w:rsidR="00ED3CAA">
        <w:rPr>
          <w:rFonts w:eastAsiaTheme="minorEastAsia"/>
        </w:rPr>
        <w:tab/>
      </w:r>
      <w:r>
        <w:rPr>
          <w:rFonts w:eastAsiaTheme="minorEastAsia"/>
        </w:rPr>
        <w:t xml:space="preserve">For EN-DC case, the </w:t>
      </w:r>
      <w:r>
        <w:rPr>
          <w:i/>
          <w:noProof/>
        </w:rPr>
        <w:t>SCGFailureInformationNR</w:t>
      </w:r>
      <w:r>
        <w:rPr>
          <w:rFonts w:eastAsiaTheme="minorEastAsia"/>
        </w:rPr>
        <w:t xml:space="preserve"> message </w:t>
      </w:r>
      <w:r>
        <w:rPr>
          <w:rFonts w:eastAsiaTheme="minorEastAsia" w:hint="eastAsia"/>
        </w:rPr>
        <w:t>reported</w:t>
      </w:r>
      <w:r>
        <w:rPr>
          <w:rFonts w:eastAsiaTheme="minorEastAsia"/>
        </w:rPr>
        <w:t xml:space="preserve"> from UE to LTE node needs to be enhanced in LTE RRC spec accordingly to align with the </w:t>
      </w:r>
      <w:r>
        <w:rPr>
          <w:i/>
          <w:iCs/>
        </w:rPr>
        <w:t xml:space="preserve">SCGFailureInformation </w:t>
      </w:r>
      <w:r w:rsidRPr="00A20871">
        <w:rPr>
          <w:iCs/>
        </w:rPr>
        <w:t>in NR RRC spec</w:t>
      </w:r>
      <w:r>
        <w:rPr>
          <w:rFonts w:eastAsiaTheme="minorEastAsia"/>
        </w:rPr>
        <w:t xml:space="preserve">. </w:t>
      </w:r>
    </w:p>
    <w:p w14:paraId="50A37684" w14:textId="2D985AEF" w:rsidR="00874E42" w:rsidRPr="00045464" w:rsidRDefault="00874E42" w:rsidP="00ED3CAA">
      <w:pPr>
        <w:pStyle w:val="B1"/>
        <w:rPr>
          <w:rFonts w:eastAsiaTheme="minorEastAsia"/>
        </w:rPr>
      </w:pPr>
      <w:r>
        <w:rPr>
          <w:rFonts w:eastAsiaTheme="minorEastAsia"/>
        </w:rPr>
        <w:t xml:space="preserve">2. </w:t>
      </w:r>
      <w:r w:rsidR="00ED3CAA">
        <w:rPr>
          <w:rFonts w:eastAsiaTheme="minorEastAsia"/>
        </w:rPr>
        <w:tab/>
      </w:r>
      <w:r>
        <w:rPr>
          <w:rFonts w:eastAsiaTheme="minorEastAsia"/>
        </w:rPr>
        <w:t xml:space="preserve">For NE-DC case, the UE report the LTE SCG failure information to NR MN node. Therefore, the </w:t>
      </w:r>
      <w:r>
        <w:rPr>
          <w:i/>
          <w:lang w:eastAsia="x-none"/>
        </w:rPr>
        <w:t>SCGFailureInformationEUTRA</w:t>
      </w:r>
      <w:r>
        <w:rPr>
          <w:lang w:eastAsia="x-none"/>
        </w:rPr>
        <w:t xml:space="preserve"> message </w:t>
      </w:r>
      <w:r>
        <w:rPr>
          <w:rFonts w:eastAsiaTheme="minorEastAsia"/>
        </w:rPr>
        <w:t>in NR RRC spec</w:t>
      </w:r>
      <w:r>
        <w:rPr>
          <w:lang w:eastAsia="x-none"/>
        </w:rPr>
        <w:t xml:space="preserve"> needs to be enhanced accordingly.</w:t>
      </w:r>
    </w:p>
    <w:p w14:paraId="355B3F7E" w14:textId="0813B2CD" w:rsidR="00874E42" w:rsidRPr="00874E42" w:rsidRDefault="00874E42" w:rsidP="00874E42">
      <w:pPr>
        <w:rPr>
          <w:rFonts w:eastAsiaTheme="minorEastAsia"/>
        </w:rPr>
      </w:pPr>
    </w:p>
    <w:p w14:paraId="0E19855F" w14:textId="77777777" w:rsidR="000F2563" w:rsidRDefault="000F2563" w:rsidP="000F2563">
      <w:pPr>
        <w:pStyle w:val="Heading1"/>
      </w:pPr>
      <w:r>
        <w:t>2</w:t>
      </w:r>
      <w:r>
        <w:tab/>
        <w:t>Actions</w:t>
      </w:r>
    </w:p>
    <w:p w14:paraId="041E3980" w14:textId="5F779964" w:rsidR="000F2563" w:rsidRDefault="000F2563" w:rsidP="000F2563">
      <w:pPr>
        <w:spacing w:after="120"/>
        <w:ind w:left="1985" w:hanging="1985"/>
        <w:rPr>
          <w:rFonts w:ascii="Arial" w:hAnsi="Arial" w:cs="Arial"/>
          <w:b/>
        </w:rPr>
      </w:pPr>
      <w:r>
        <w:rPr>
          <w:rFonts w:ascii="Arial" w:hAnsi="Arial" w:cs="Arial"/>
          <w:b/>
        </w:rPr>
        <w:t xml:space="preserve">To </w:t>
      </w:r>
      <w:r w:rsidR="00874E42" w:rsidRPr="00874E42">
        <w:rPr>
          <w:rFonts w:ascii="Arial" w:hAnsi="Arial" w:cs="Arial"/>
          <w:b/>
        </w:rPr>
        <w:t>RAN2</w:t>
      </w:r>
    </w:p>
    <w:p w14:paraId="3041D444" w14:textId="6C2F4DC8" w:rsidR="000F2563" w:rsidRPr="00874E42" w:rsidRDefault="000F2563" w:rsidP="00874E42">
      <w:pPr>
        <w:rPr>
          <w:rFonts w:eastAsiaTheme="minorEastAsia"/>
        </w:rPr>
      </w:pPr>
      <w:r>
        <w:rPr>
          <w:rFonts w:ascii="Arial" w:hAnsi="Arial" w:cs="Arial"/>
          <w:b/>
        </w:rPr>
        <w:t xml:space="preserve">ACTION: </w:t>
      </w:r>
      <w:r w:rsidRPr="000F6242">
        <w:rPr>
          <w:rFonts w:ascii="Arial" w:hAnsi="Arial" w:cs="Arial"/>
          <w:b/>
          <w:color w:val="0070C0"/>
        </w:rPr>
        <w:tab/>
      </w:r>
      <w:r w:rsidR="00874E42">
        <w:t xml:space="preserve">RAN3 kindly </w:t>
      </w:r>
      <w:r w:rsidR="00874E42" w:rsidRPr="00E5276B">
        <w:rPr>
          <w:rFonts w:hint="eastAsia"/>
        </w:rPr>
        <w:t>request</w:t>
      </w:r>
      <w:r w:rsidR="00874E42" w:rsidRPr="00E5276B">
        <w:t xml:space="preserve"> </w:t>
      </w:r>
      <w:r w:rsidR="00874E42">
        <w:rPr>
          <w:rFonts w:hint="eastAsia"/>
        </w:rPr>
        <w:t>RAN2</w:t>
      </w:r>
      <w:r w:rsidR="00874E42">
        <w:t xml:space="preserve"> to</w:t>
      </w:r>
      <w:r w:rsidR="002D6D11">
        <w:t xml:space="preserve"> </w:t>
      </w:r>
      <w:r w:rsidR="00ED3CAA">
        <w:t xml:space="preserve">feedback if the </w:t>
      </w:r>
      <w:r w:rsidR="00874E42">
        <w:t>support MRO for SCG failure in EN-DC and NE-DC</w:t>
      </w:r>
      <w:r w:rsidR="00ED3CAA">
        <w:t xml:space="preserve"> are possible within Rel-19 scope.</w:t>
      </w:r>
    </w:p>
    <w:p w14:paraId="68790759" w14:textId="77777777" w:rsidR="000F2563" w:rsidRPr="00412CCB" w:rsidRDefault="000F2563" w:rsidP="000F2563">
      <w:pPr>
        <w:pStyle w:val="Heading1"/>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061BC896" w14:textId="77777777" w:rsidR="000F2563" w:rsidRDefault="000F2563" w:rsidP="000F2563">
      <w:r>
        <w:t>Updated meeting schedule can be found at:</w:t>
      </w:r>
      <w:r w:rsidRPr="00446F1E">
        <w:t xml:space="preserve"> </w:t>
      </w:r>
      <w:hyperlink r:id="rId15" w:anchor="/" w:history="1">
        <w:r w:rsidRPr="00C524B1">
          <w:rPr>
            <w:rStyle w:val="Hyperlink"/>
          </w:rPr>
          <w:t>https://portal.3gpp.org/?tbid=373&amp;SubTB=381#/</w:t>
        </w:r>
      </w:hyperlink>
      <w:r>
        <w:t xml:space="preserve"> </w:t>
      </w:r>
    </w:p>
    <w:p w14:paraId="72EAE181" w14:textId="77777777" w:rsidR="000F2563" w:rsidRDefault="000F2563" w:rsidP="000F2563"/>
    <w:p w14:paraId="37DA08DA" w14:textId="77777777" w:rsidR="000F2563" w:rsidRDefault="000F2563" w:rsidP="000F2563">
      <w:r>
        <w:t>RAN3#124</w:t>
      </w:r>
      <w:r>
        <w:tab/>
        <w:t>2024-05-20  -  2024-05-24</w:t>
      </w:r>
      <w:r>
        <w:tab/>
      </w:r>
      <w:r>
        <w:tab/>
        <w:t xml:space="preserve">Fukuoka, JP </w:t>
      </w:r>
    </w:p>
    <w:p w14:paraId="429257C1" w14:textId="77777777" w:rsidR="000F2563" w:rsidRDefault="000F2563" w:rsidP="000F2563">
      <w:r>
        <w:t>RAN3#125</w:t>
      </w:r>
      <w:r>
        <w:tab/>
        <w:t xml:space="preserve">2024-08-19  -  2024-08-23 </w:t>
      </w:r>
      <w:r>
        <w:tab/>
        <w:t>Maastricht, NL</w:t>
      </w:r>
    </w:p>
    <w:bookmarkEnd w:id="49"/>
    <w:p w14:paraId="6A5DD0BE" w14:textId="77777777" w:rsidR="000F6634" w:rsidRDefault="000F6634" w:rsidP="00F95AEE">
      <w:pPr>
        <w:spacing w:after="120"/>
        <w:ind w:rightChars="100" w:right="200"/>
        <w:jc w:val="both"/>
        <w:rPr>
          <w:rFonts w:eastAsiaTheme="minorEastAsia"/>
          <w:b/>
        </w:rPr>
      </w:pPr>
    </w:p>
    <w:sectPr w:rsidR="000F6634">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45EBE" w14:textId="77777777" w:rsidR="00C90FE8" w:rsidRDefault="00C90FE8">
      <w:pPr>
        <w:spacing w:after="0"/>
      </w:pPr>
      <w:r>
        <w:separator/>
      </w:r>
    </w:p>
  </w:endnote>
  <w:endnote w:type="continuationSeparator" w:id="0">
    <w:p w14:paraId="12C93820" w14:textId="77777777" w:rsidR="00C90FE8" w:rsidRDefault="00C90F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CF1BB" w14:textId="642D2432" w:rsidR="005E66DF" w:rsidRDefault="005E66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9AED9" w14:textId="77777777" w:rsidR="00C90FE8" w:rsidRDefault="00C90FE8">
      <w:pPr>
        <w:spacing w:after="0"/>
      </w:pPr>
      <w:r>
        <w:separator/>
      </w:r>
    </w:p>
  </w:footnote>
  <w:footnote w:type="continuationSeparator" w:id="0">
    <w:p w14:paraId="77F58BEA" w14:textId="77777777" w:rsidR="00C90FE8" w:rsidRDefault="00C90F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254D31"/>
    <w:multiLevelType w:val="hybridMultilevel"/>
    <w:tmpl w:val="1FEE766E"/>
    <w:lvl w:ilvl="0" w:tplc="BB3450C6">
      <w:start w:val="1"/>
      <w:numFmt w:val="decimal"/>
      <w:pStyle w:val="Prop"/>
      <w:lvlText w:val="Proposal %1 "/>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102B1D"/>
    <w:multiLevelType w:val="hybridMultilevel"/>
    <w:tmpl w:val="7DB065D0"/>
    <w:lvl w:ilvl="0" w:tplc="3552DB9E">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FA15CEB"/>
    <w:multiLevelType w:val="hybridMultilevel"/>
    <w:tmpl w:val="F09E72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14A17C"/>
    <w:lvl w:ilvl="0">
      <w:start w:val="1"/>
      <w:numFmt w:val="decimal"/>
      <w:pStyle w:val="Proposal"/>
      <w:lvlText w:val="Proposal %1 "/>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3508E9C2"/>
    <w:lvl w:ilvl="0">
      <w:start w:val="1"/>
      <w:numFmt w:val="decimal"/>
      <w:pStyle w:val="Observation"/>
      <w:lvlText w:val="Observation %1"/>
      <w:lvlJc w:val="left"/>
      <w:pPr>
        <w:ind w:left="3195" w:hanging="360"/>
      </w:pPr>
      <w:rPr>
        <w:rFonts w:hint="default"/>
        <w:b/>
        <w:bCs/>
      </w:rPr>
    </w:lvl>
    <w:lvl w:ilvl="1">
      <w:start w:val="1"/>
      <w:numFmt w:val="lowerLetter"/>
      <w:lvlText w:val="%2."/>
      <w:lvlJc w:val="left"/>
      <w:pPr>
        <w:ind w:left="4275" w:hanging="360"/>
      </w:pPr>
    </w:lvl>
    <w:lvl w:ilvl="2">
      <w:start w:val="1"/>
      <w:numFmt w:val="lowerRoman"/>
      <w:lvlText w:val="%3."/>
      <w:lvlJc w:val="right"/>
      <w:pPr>
        <w:ind w:left="4995" w:hanging="180"/>
      </w:pPr>
    </w:lvl>
    <w:lvl w:ilvl="3">
      <w:start w:val="1"/>
      <w:numFmt w:val="decimal"/>
      <w:lvlText w:val="%4."/>
      <w:lvlJc w:val="left"/>
      <w:pPr>
        <w:ind w:left="5715" w:hanging="360"/>
      </w:pPr>
    </w:lvl>
    <w:lvl w:ilvl="4">
      <w:start w:val="1"/>
      <w:numFmt w:val="lowerLetter"/>
      <w:lvlText w:val="%5."/>
      <w:lvlJc w:val="left"/>
      <w:pPr>
        <w:ind w:left="6435" w:hanging="360"/>
      </w:pPr>
    </w:lvl>
    <w:lvl w:ilvl="5">
      <w:start w:val="1"/>
      <w:numFmt w:val="lowerRoman"/>
      <w:lvlText w:val="%6."/>
      <w:lvlJc w:val="right"/>
      <w:pPr>
        <w:ind w:left="7155" w:hanging="180"/>
      </w:pPr>
    </w:lvl>
    <w:lvl w:ilvl="6">
      <w:start w:val="1"/>
      <w:numFmt w:val="decimal"/>
      <w:lvlText w:val="%7."/>
      <w:lvlJc w:val="left"/>
      <w:pPr>
        <w:ind w:left="7875" w:hanging="360"/>
      </w:pPr>
    </w:lvl>
    <w:lvl w:ilvl="7">
      <w:start w:val="1"/>
      <w:numFmt w:val="lowerLetter"/>
      <w:lvlText w:val="%8."/>
      <w:lvlJc w:val="left"/>
      <w:pPr>
        <w:ind w:left="8595" w:hanging="360"/>
      </w:pPr>
    </w:lvl>
    <w:lvl w:ilvl="8">
      <w:start w:val="1"/>
      <w:numFmt w:val="lowerRoman"/>
      <w:lvlText w:val="%9."/>
      <w:lvlJc w:val="right"/>
      <w:pPr>
        <w:ind w:left="9315"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6"/>
  </w:num>
  <w:num w:numId="4">
    <w:abstractNumId w:val="10"/>
  </w:num>
  <w:num w:numId="5">
    <w:abstractNumId w:val="26"/>
  </w:num>
  <w:num w:numId="6">
    <w:abstractNumId w:val="15"/>
  </w:num>
  <w:num w:numId="7">
    <w:abstractNumId w:val="23"/>
  </w:num>
  <w:num w:numId="8">
    <w:abstractNumId w:val="4"/>
  </w:num>
  <w:num w:numId="9">
    <w:abstractNumId w:val="6"/>
  </w:num>
  <w:num w:numId="10">
    <w:abstractNumId w:val="29"/>
  </w:num>
  <w:num w:numId="11">
    <w:abstractNumId w:val="14"/>
  </w:num>
  <w:num w:numId="12">
    <w:abstractNumId w:val="13"/>
  </w:num>
  <w:num w:numId="13">
    <w:abstractNumId w:val="7"/>
  </w:num>
  <w:num w:numId="14">
    <w:abstractNumId w:val="26"/>
  </w:num>
  <w:num w:numId="15">
    <w:abstractNumId w:val="3"/>
  </w:num>
  <w:num w:numId="16">
    <w:abstractNumId w:val="21"/>
  </w:num>
  <w:num w:numId="17">
    <w:abstractNumId w:val="9"/>
  </w:num>
  <w:num w:numId="18">
    <w:abstractNumId w:val="11"/>
  </w:num>
  <w:num w:numId="19">
    <w:abstractNumId w:val="22"/>
  </w:num>
  <w:num w:numId="20">
    <w:abstractNumId w:val="1"/>
  </w:num>
  <w:num w:numId="21">
    <w:abstractNumId w:val="0"/>
  </w:num>
  <w:num w:numId="22">
    <w:abstractNumId w:val="27"/>
  </w:num>
  <w:num w:numId="23">
    <w:abstractNumId w:val="8"/>
  </w:num>
  <w:num w:numId="24">
    <w:abstractNumId w:val="18"/>
  </w:num>
  <w:num w:numId="25">
    <w:abstractNumId w:val="17"/>
  </w:num>
  <w:num w:numId="26">
    <w:abstractNumId w:val="5"/>
  </w:num>
  <w:num w:numId="27">
    <w:abstractNumId w:val="12"/>
  </w:num>
  <w:num w:numId="28">
    <w:abstractNumId w:val="25"/>
  </w:num>
  <w:num w:numId="29">
    <w:abstractNumId w:val="28"/>
  </w:num>
  <w:num w:numId="30">
    <w:abstractNumId w:val="24"/>
  </w:num>
  <w:num w:numId="3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416"/>
    <w:rsid w:val="00017D35"/>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44F"/>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690"/>
    <w:rsid w:val="000460B5"/>
    <w:rsid w:val="0004611E"/>
    <w:rsid w:val="0004642F"/>
    <w:rsid w:val="000465D3"/>
    <w:rsid w:val="000468CD"/>
    <w:rsid w:val="00046E2C"/>
    <w:rsid w:val="00046ED6"/>
    <w:rsid w:val="0004761A"/>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56D6"/>
    <w:rsid w:val="000A5961"/>
    <w:rsid w:val="000A61B4"/>
    <w:rsid w:val="000A76F5"/>
    <w:rsid w:val="000B005A"/>
    <w:rsid w:val="000B0B37"/>
    <w:rsid w:val="000B0BD2"/>
    <w:rsid w:val="000B1364"/>
    <w:rsid w:val="000B1395"/>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563"/>
    <w:rsid w:val="000F2D35"/>
    <w:rsid w:val="000F3FD7"/>
    <w:rsid w:val="000F41F4"/>
    <w:rsid w:val="000F5285"/>
    <w:rsid w:val="000F5509"/>
    <w:rsid w:val="000F5ED9"/>
    <w:rsid w:val="000F6165"/>
    <w:rsid w:val="000F6634"/>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5532"/>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6BBB"/>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217"/>
    <w:rsid w:val="001D4421"/>
    <w:rsid w:val="001D4882"/>
    <w:rsid w:val="001D48BB"/>
    <w:rsid w:val="001D5305"/>
    <w:rsid w:val="001D57AC"/>
    <w:rsid w:val="001D5F9B"/>
    <w:rsid w:val="001D641D"/>
    <w:rsid w:val="001D686F"/>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CF"/>
    <w:rsid w:val="00211D57"/>
    <w:rsid w:val="00213BDD"/>
    <w:rsid w:val="00213CB9"/>
    <w:rsid w:val="00213D83"/>
    <w:rsid w:val="00214177"/>
    <w:rsid w:val="00214A4E"/>
    <w:rsid w:val="00214C61"/>
    <w:rsid w:val="00214D4A"/>
    <w:rsid w:val="00214D86"/>
    <w:rsid w:val="00215186"/>
    <w:rsid w:val="00215343"/>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CC4"/>
    <w:rsid w:val="00254147"/>
    <w:rsid w:val="0025583A"/>
    <w:rsid w:val="00256075"/>
    <w:rsid w:val="00256577"/>
    <w:rsid w:val="00260410"/>
    <w:rsid w:val="002608F1"/>
    <w:rsid w:val="00260B99"/>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3"/>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2B25"/>
    <w:rsid w:val="002B2FBD"/>
    <w:rsid w:val="002B31F7"/>
    <w:rsid w:val="002B33F1"/>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D11"/>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5FF"/>
    <w:rsid w:val="002F472C"/>
    <w:rsid w:val="002F4964"/>
    <w:rsid w:val="002F5020"/>
    <w:rsid w:val="002F562E"/>
    <w:rsid w:val="002F5A7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63B"/>
    <w:rsid w:val="003038A4"/>
    <w:rsid w:val="00303AB6"/>
    <w:rsid w:val="00303F80"/>
    <w:rsid w:val="003040E8"/>
    <w:rsid w:val="00304746"/>
    <w:rsid w:val="00304CD2"/>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EA2"/>
    <w:rsid w:val="003151EE"/>
    <w:rsid w:val="0031588E"/>
    <w:rsid w:val="003158D4"/>
    <w:rsid w:val="00316347"/>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38E8"/>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574B9"/>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1"/>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229A"/>
    <w:rsid w:val="00492B9D"/>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266"/>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30A7"/>
    <w:rsid w:val="00553526"/>
    <w:rsid w:val="0055358B"/>
    <w:rsid w:val="005539C4"/>
    <w:rsid w:val="00553A86"/>
    <w:rsid w:val="00553C6D"/>
    <w:rsid w:val="00553D20"/>
    <w:rsid w:val="0055413C"/>
    <w:rsid w:val="00554A0D"/>
    <w:rsid w:val="00555031"/>
    <w:rsid w:val="00555089"/>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C52"/>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9F9"/>
    <w:rsid w:val="00575AE2"/>
    <w:rsid w:val="00575DE4"/>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5DCC"/>
    <w:rsid w:val="005A6676"/>
    <w:rsid w:val="005A675C"/>
    <w:rsid w:val="005A6AC6"/>
    <w:rsid w:val="005A6C5B"/>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35DD"/>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9DF"/>
    <w:rsid w:val="005E5FA5"/>
    <w:rsid w:val="005E668E"/>
    <w:rsid w:val="005E66DF"/>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692"/>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36B"/>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B4A"/>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2ED"/>
    <w:rsid w:val="0082733A"/>
    <w:rsid w:val="00827357"/>
    <w:rsid w:val="008276D6"/>
    <w:rsid w:val="00827D76"/>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50D3A"/>
    <w:rsid w:val="0085115C"/>
    <w:rsid w:val="00851CC6"/>
    <w:rsid w:val="00851FF5"/>
    <w:rsid w:val="00852D48"/>
    <w:rsid w:val="00853245"/>
    <w:rsid w:val="008532AD"/>
    <w:rsid w:val="008532F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7CC"/>
    <w:rsid w:val="00873B3E"/>
    <w:rsid w:val="008744EB"/>
    <w:rsid w:val="00874C89"/>
    <w:rsid w:val="00874DB5"/>
    <w:rsid w:val="00874E42"/>
    <w:rsid w:val="00874E7A"/>
    <w:rsid w:val="00874EE0"/>
    <w:rsid w:val="00874FB4"/>
    <w:rsid w:val="00875032"/>
    <w:rsid w:val="00875196"/>
    <w:rsid w:val="00876921"/>
    <w:rsid w:val="00876967"/>
    <w:rsid w:val="008778C3"/>
    <w:rsid w:val="00877DD9"/>
    <w:rsid w:val="00877EC9"/>
    <w:rsid w:val="00880541"/>
    <w:rsid w:val="00880700"/>
    <w:rsid w:val="00880AFC"/>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DE"/>
    <w:rsid w:val="008A34B3"/>
    <w:rsid w:val="008A351B"/>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4E45"/>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2EC"/>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2A0"/>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3EAA"/>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33"/>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69D"/>
    <w:rsid w:val="009828ED"/>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4C0"/>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09"/>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C66"/>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3918"/>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E64"/>
    <w:rsid w:val="00C13FF9"/>
    <w:rsid w:val="00C14293"/>
    <w:rsid w:val="00C143CC"/>
    <w:rsid w:val="00C147DB"/>
    <w:rsid w:val="00C14823"/>
    <w:rsid w:val="00C153EF"/>
    <w:rsid w:val="00C15674"/>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5A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81"/>
    <w:rsid w:val="00C7749D"/>
    <w:rsid w:val="00C778E1"/>
    <w:rsid w:val="00C77ECB"/>
    <w:rsid w:val="00C77F69"/>
    <w:rsid w:val="00C80008"/>
    <w:rsid w:val="00C8028F"/>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0FE8"/>
    <w:rsid w:val="00C91667"/>
    <w:rsid w:val="00C91B00"/>
    <w:rsid w:val="00C91D63"/>
    <w:rsid w:val="00C9277A"/>
    <w:rsid w:val="00C92E5E"/>
    <w:rsid w:val="00C93EDD"/>
    <w:rsid w:val="00C940E9"/>
    <w:rsid w:val="00C942FE"/>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AF7"/>
    <w:rsid w:val="00CD4B4F"/>
    <w:rsid w:val="00CD4EEE"/>
    <w:rsid w:val="00CD56C1"/>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21C3"/>
    <w:rsid w:val="00CF22E9"/>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3FA"/>
    <w:rsid w:val="00D03A01"/>
    <w:rsid w:val="00D03AE5"/>
    <w:rsid w:val="00D03BA5"/>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F27"/>
    <w:rsid w:val="00D207D8"/>
    <w:rsid w:val="00D20DF2"/>
    <w:rsid w:val="00D21194"/>
    <w:rsid w:val="00D21364"/>
    <w:rsid w:val="00D2161F"/>
    <w:rsid w:val="00D21784"/>
    <w:rsid w:val="00D223E8"/>
    <w:rsid w:val="00D2278E"/>
    <w:rsid w:val="00D22EA0"/>
    <w:rsid w:val="00D2354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3D3"/>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20D4"/>
    <w:rsid w:val="00DC25CF"/>
    <w:rsid w:val="00DC27D0"/>
    <w:rsid w:val="00DC2A63"/>
    <w:rsid w:val="00DC30B6"/>
    <w:rsid w:val="00DC3313"/>
    <w:rsid w:val="00DC47E5"/>
    <w:rsid w:val="00DC4B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33BA"/>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49D2"/>
    <w:rsid w:val="00E35933"/>
    <w:rsid w:val="00E35E1C"/>
    <w:rsid w:val="00E375A7"/>
    <w:rsid w:val="00E37691"/>
    <w:rsid w:val="00E377DA"/>
    <w:rsid w:val="00E3798E"/>
    <w:rsid w:val="00E37FCD"/>
    <w:rsid w:val="00E4001A"/>
    <w:rsid w:val="00E40069"/>
    <w:rsid w:val="00E405F9"/>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CAA"/>
    <w:rsid w:val="00ED3D63"/>
    <w:rsid w:val="00ED4045"/>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EB2"/>
    <w:rsid w:val="00EF5B39"/>
    <w:rsid w:val="00EF62A2"/>
    <w:rsid w:val="00EF6918"/>
    <w:rsid w:val="00EF694A"/>
    <w:rsid w:val="00EF77C7"/>
    <w:rsid w:val="00EF77ED"/>
    <w:rsid w:val="00EF7843"/>
    <w:rsid w:val="00EF791E"/>
    <w:rsid w:val="00EF7E21"/>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5FB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531"/>
    <w:rsid w:val="00F92650"/>
    <w:rsid w:val="00F92E78"/>
    <w:rsid w:val="00F92E89"/>
    <w:rsid w:val="00F9306D"/>
    <w:rsid w:val="00F94AB8"/>
    <w:rsid w:val="00F9532C"/>
    <w:rsid w:val="00F9556B"/>
    <w:rsid w:val="00F95AEE"/>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5E15"/>
    <w:rsid w:val="00FA5F9C"/>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6A8C"/>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C6"/>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qFormat/>
    <w:rsid w:val="002311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2311F3"/>
    <w:pPr>
      <w:pBdr>
        <w:top w:val="none" w:sz="0" w:space="0" w:color="auto"/>
      </w:pBdr>
      <w:spacing w:before="180"/>
      <w:outlineLvl w:val="1"/>
    </w:pPr>
    <w:rPr>
      <w:sz w:val="32"/>
    </w:rPr>
  </w:style>
  <w:style w:type="paragraph" w:styleId="Heading3">
    <w:name w:val="heading 3"/>
    <w:basedOn w:val="Heading2"/>
    <w:next w:val="Normal"/>
    <w:link w:val="Heading3Char"/>
    <w:qFormat/>
    <w:rsid w:val="002311F3"/>
    <w:pPr>
      <w:spacing w:before="120"/>
      <w:outlineLvl w:val="2"/>
    </w:pPr>
    <w:rPr>
      <w:sz w:val="28"/>
    </w:rPr>
  </w:style>
  <w:style w:type="paragraph" w:styleId="Heading4">
    <w:name w:val="heading 4"/>
    <w:basedOn w:val="Heading3"/>
    <w:next w:val="Normal"/>
    <w:link w:val="Heading4Char"/>
    <w:qFormat/>
    <w:rsid w:val="002311F3"/>
    <w:pPr>
      <w:ind w:left="1418" w:hanging="1418"/>
      <w:outlineLvl w:val="3"/>
    </w:pPr>
    <w:rPr>
      <w:sz w:val="24"/>
    </w:rPr>
  </w:style>
  <w:style w:type="paragraph" w:styleId="Heading5">
    <w:name w:val="heading 5"/>
    <w:basedOn w:val="Heading4"/>
    <w:next w:val="Normal"/>
    <w:link w:val="Heading5Char"/>
    <w:qFormat/>
    <w:rsid w:val="002311F3"/>
    <w:pPr>
      <w:ind w:left="1701" w:hanging="1701"/>
      <w:outlineLvl w:val="4"/>
    </w:pPr>
    <w:rPr>
      <w:sz w:val="22"/>
    </w:rPr>
  </w:style>
  <w:style w:type="paragraph" w:styleId="Heading6">
    <w:name w:val="heading 6"/>
    <w:basedOn w:val="H6"/>
    <w:next w:val="Normal"/>
    <w:qFormat/>
    <w:rsid w:val="002311F3"/>
    <w:pPr>
      <w:outlineLvl w:val="5"/>
    </w:pPr>
  </w:style>
  <w:style w:type="paragraph" w:styleId="Heading7">
    <w:name w:val="heading 7"/>
    <w:basedOn w:val="H6"/>
    <w:next w:val="Normal"/>
    <w:qFormat/>
    <w:rsid w:val="002311F3"/>
    <w:pPr>
      <w:outlineLvl w:val="6"/>
    </w:pPr>
  </w:style>
  <w:style w:type="paragraph" w:styleId="Heading8">
    <w:name w:val="heading 8"/>
    <w:basedOn w:val="Heading1"/>
    <w:next w:val="Normal"/>
    <w:qFormat/>
    <w:rsid w:val="002311F3"/>
    <w:pPr>
      <w:ind w:left="0" w:firstLine="0"/>
      <w:outlineLvl w:val="7"/>
    </w:pPr>
  </w:style>
  <w:style w:type="paragraph" w:styleId="Heading9">
    <w:name w:val="heading 9"/>
    <w:basedOn w:val="Heading8"/>
    <w:next w:val="Normal"/>
    <w:qFormat/>
    <w:rsid w:val="002311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311F3"/>
    <w:pPr>
      <w:ind w:left="1985" w:hanging="1985"/>
      <w:outlineLvl w:val="9"/>
    </w:pPr>
    <w:rPr>
      <w:sz w:val="20"/>
    </w:rPr>
  </w:style>
  <w:style w:type="paragraph" w:styleId="List3">
    <w:name w:val="List 3"/>
    <w:basedOn w:val="List2"/>
    <w:rsid w:val="002311F3"/>
    <w:pPr>
      <w:ind w:left="1135"/>
    </w:pPr>
  </w:style>
  <w:style w:type="paragraph" w:styleId="List2">
    <w:name w:val="List 2"/>
    <w:basedOn w:val="List"/>
    <w:rsid w:val="002311F3"/>
    <w:pPr>
      <w:ind w:left="851"/>
    </w:pPr>
  </w:style>
  <w:style w:type="paragraph" w:styleId="List">
    <w:name w:val="List"/>
    <w:basedOn w:val="Normal"/>
    <w:rsid w:val="002311F3"/>
    <w:pPr>
      <w:ind w:left="568" w:hanging="284"/>
    </w:pPr>
  </w:style>
  <w:style w:type="paragraph" w:styleId="TOC7">
    <w:name w:val="toc 7"/>
    <w:basedOn w:val="TOC6"/>
    <w:next w:val="Normal"/>
    <w:semiHidden/>
    <w:rsid w:val="002311F3"/>
    <w:pPr>
      <w:ind w:left="2268" w:hanging="2268"/>
    </w:pPr>
  </w:style>
  <w:style w:type="paragraph" w:styleId="TOC6">
    <w:name w:val="toc 6"/>
    <w:basedOn w:val="TOC5"/>
    <w:next w:val="Normal"/>
    <w:semiHidden/>
    <w:rsid w:val="002311F3"/>
    <w:pPr>
      <w:ind w:left="1985" w:hanging="1985"/>
    </w:pPr>
  </w:style>
  <w:style w:type="paragraph" w:styleId="TOC5">
    <w:name w:val="toc 5"/>
    <w:basedOn w:val="TOC4"/>
    <w:semiHidden/>
    <w:rsid w:val="002311F3"/>
    <w:pPr>
      <w:ind w:left="1701" w:hanging="1701"/>
    </w:pPr>
  </w:style>
  <w:style w:type="paragraph" w:styleId="TOC4">
    <w:name w:val="toc 4"/>
    <w:basedOn w:val="TOC3"/>
    <w:semiHidden/>
    <w:rsid w:val="002311F3"/>
    <w:pPr>
      <w:ind w:left="1418" w:hanging="1418"/>
    </w:pPr>
  </w:style>
  <w:style w:type="paragraph" w:styleId="TOC3">
    <w:name w:val="toc 3"/>
    <w:basedOn w:val="TOC2"/>
    <w:semiHidden/>
    <w:rsid w:val="002311F3"/>
    <w:pPr>
      <w:ind w:left="1134" w:hanging="1134"/>
    </w:pPr>
  </w:style>
  <w:style w:type="paragraph" w:styleId="TOC2">
    <w:name w:val="toc 2"/>
    <w:basedOn w:val="TOC1"/>
    <w:semiHidden/>
    <w:rsid w:val="002311F3"/>
    <w:pPr>
      <w:keepNext w:val="0"/>
      <w:tabs>
        <w:tab w:val="clear" w:pos="1560"/>
      </w:tabs>
      <w:spacing w:before="0" w:after="0"/>
      <w:ind w:left="851" w:hanging="851"/>
    </w:pPr>
    <w:rPr>
      <w:b w:val="0"/>
      <w:sz w:val="20"/>
      <w:lang w:val="en-US" w:eastAsia="zh-CN"/>
    </w:rPr>
  </w:style>
  <w:style w:type="paragraph" w:styleId="TOC1">
    <w:name w:val="toc 1"/>
    <w:basedOn w:val="Proposallist"/>
    <w:uiPriority w:val="39"/>
    <w:rsid w:val="002311F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Number2">
    <w:name w:val="List Number 2"/>
    <w:basedOn w:val="ListNumber"/>
    <w:rsid w:val="002311F3"/>
    <w:pPr>
      <w:ind w:left="851"/>
    </w:pPr>
  </w:style>
  <w:style w:type="paragraph" w:styleId="ListNumber">
    <w:name w:val="List Number"/>
    <w:basedOn w:val="List"/>
    <w:rsid w:val="002311F3"/>
  </w:style>
  <w:style w:type="paragraph" w:styleId="ListBullet4">
    <w:name w:val="List Bullet 4"/>
    <w:basedOn w:val="ListBullet3"/>
    <w:rsid w:val="002311F3"/>
    <w:pPr>
      <w:ind w:left="1418"/>
    </w:pPr>
  </w:style>
  <w:style w:type="paragraph" w:styleId="ListBullet3">
    <w:name w:val="List Bullet 3"/>
    <w:basedOn w:val="ListBullet2"/>
    <w:rsid w:val="002311F3"/>
    <w:pPr>
      <w:ind w:left="1135"/>
    </w:pPr>
  </w:style>
  <w:style w:type="paragraph" w:styleId="ListBullet2">
    <w:name w:val="List Bullet 2"/>
    <w:basedOn w:val="ListBullet"/>
    <w:rsid w:val="002311F3"/>
    <w:pPr>
      <w:ind w:left="851"/>
    </w:pPr>
  </w:style>
  <w:style w:type="paragraph" w:styleId="ListBullet">
    <w:name w:val="List Bullet"/>
    <w:basedOn w:val="List"/>
    <w:rsid w:val="002311F3"/>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qFormat/>
    <w:pPr>
      <w:ind w:left="720"/>
    </w:pPr>
    <w:rPr>
      <w:b/>
      <w:bCs/>
    </w:rPr>
  </w:style>
  <w:style w:type="paragraph" w:styleId="ListBullet5">
    <w:name w:val="List Bullet 5"/>
    <w:basedOn w:val="ListBullet4"/>
    <w:rsid w:val="002311F3"/>
    <w:pPr>
      <w:ind w:left="1702"/>
    </w:pPr>
  </w:style>
  <w:style w:type="paragraph" w:styleId="TOC8">
    <w:name w:val="toc 8"/>
    <w:basedOn w:val="TOC1"/>
    <w:semiHidden/>
    <w:rsid w:val="002311F3"/>
    <w:pPr>
      <w:tabs>
        <w:tab w:val="clear" w:pos="1560"/>
      </w:tabs>
      <w:spacing w:before="180" w:after="0"/>
      <w:ind w:left="2693" w:hanging="2693"/>
    </w:pPr>
    <w:rPr>
      <w:lang w:val="en-US" w:eastAsia="zh-CN"/>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2311F3"/>
    <w:pPr>
      <w:jc w:val="center"/>
    </w:pPr>
    <w:rPr>
      <w:i/>
    </w:rPr>
  </w:style>
  <w:style w:type="paragraph" w:styleId="Header">
    <w:name w:val="header"/>
    <w:link w:val="HeaderChar"/>
    <w:rsid w:val="002311F3"/>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2311F3"/>
    <w:pPr>
      <w:keepLines/>
      <w:spacing w:after="0"/>
      <w:ind w:left="454" w:hanging="454"/>
    </w:pPr>
    <w:rPr>
      <w:sz w:val="16"/>
    </w:rPr>
  </w:style>
  <w:style w:type="paragraph" w:styleId="List5">
    <w:name w:val="List 5"/>
    <w:basedOn w:val="List4"/>
    <w:rsid w:val="002311F3"/>
    <w:pPr>
      <w:ind w:left="1702"/>
    </w:pPr>
  </w:style>
  <w:style w:type="paragraph" w:styleId="List4">
    <w:name w:val="List 4"/>
    <w:basedOn w:val="List3"/>
    <w:rsid w:val="002311F3"/>
    <w:pPr>
      <w:ind w:left="1418"/>
    </w:pPr>
  </w:style>
  <w:style w:type="paragraph" w:styleId="TOC9">
    <w:name w:val="toc 9"/>
    <w:basedOn w:val="TOC8"/>
    <w:semiHidden/>
    <w:rsid w:val="002311F3"/>
    <w:pPr>
      <w:ind w:left="1418" w:hanging="1418"/>
    </w:pPr>
  </w:style>
  <w:style w:type="paragraph" w:styleId="Index1">
    <w:name w:val="index 1"/>
    <w:basedOn w:val="Normal"/>
    <w:semiHidden/>
    <w:rsid w:val="002311F3"/>
    <w:pPr>
      <w:keepLines/>
      <w:spacing w:after="0"/>
    </w:pPr>
  </w:style>
  <w:style w:type="paragraph" w:styleId="Index2">
    <w:name w:val="index 2"/>
    <w:basedOn w:val="Index1"/>
    <w:semiHidden/>
    <w:rsid w:val="002311F3"/>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2311F3"/>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qFormat/>
    <w:rsid w:val="002311F3"/>
  </w:style>
  <w:style w:type="paragraph" w:customStyle="1" w:styleId="TAL">
    <w:name w:val="TAL"/>
    <w:basedOn w:val="Normal"/>
    <w:link w:val="TALCar"/>
    <w:rsid w:val="002311F3"/>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2311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311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311F3"/>
    <w:pPr>
      <w:outlineLvl w:val="9"/>
    </w:pPr>
  </w:style>
  <w:style w:type="paragraph" w:customStyle="1" w:styleId="TAH">
    <w:name w:val="TAH"/>
    <w:basedOn w:val="TAC"/>
    <w:link w:val="TAHCar"/>
    <w:rsid w:val="002311F3"/>
    <w:rPr>
      <w:b/>
    </w:rPr>
  </w:style>
  <w:style w:type="paragraph" w:customStyle="1" w:styleId="TAC">
    <w:name w:val="TAC"/>
    <w:basedOn w:val="TAL"/>
    <w:rsid w:val="002311F3"/>
    <w:pPr>
      <w:jc w:val="center"/>
    </w:pPr>
  </w:style>
  <w:style w:type="paragraph" w:customStyle="1" w:styleId="TF">
    <w:name w:val="TF"/>
    <w:aliases w:val="left"/>
    <w:basedOn w:val="TH"/>
    <w:link w:val="TFChar"/>
    <w:rsid w:val="002311F3"/>
    <w:pPr>
      <w:keepNext w:val="0"/>
      <w:spacing w:before="0" w:after="240"/>
    </w:pPr>
  </w:style>
  <w:style w:type="paragraph" w:customStyle="1" w:styleId="TH">
    <w:name w:val="TH"/>
    <w:basedOn w:val="Normal"/>
    <w:link w:val="THChar"/>
    <w:rsid w:val="002311F3"/>
    <w:pPr>
      <w:keepNext/>
      <w:keepLines/>
      <w:spacing w:before="60"/>
      <w:jc w:val="center"/>
    </w:pPr>
    <w:rPr>
      <w:rFonts w:ascii="Arial" w:hAnsi="Arial"/>
      <w:b/>
    </w:rPr>
  </w:style>
  <w:style w:type="paragraph" w:customStyle="1" w:styleId="NO">
    <w:name w:val="NO"/>
    <w:basedOn w:val="Normal"/>
    <w:link w:val="NOChar"/>
    <w:rsid w:val="002311F3"/>
    <w:pPr>
      <w:keepLines/>
      <w:ind w:left="1135" w:hanging="851"/>
    </w:pPr>
  </w:style>
  <w:style w:type="paragraph" w:customStyle="1" w:styleId="EX">
    <w:name w:val="EX"/>
    <w:basedOn w:val="Normal"/>
    <w:rsid w:val="002311F3"/>
    <w:pPr>
      <w:keepLines/>
      <w:ind w:left="1702" w:hanging="1418"/>
    </w:pPr>
  </w:style>
  <w:style w:type="paragraph" w:customStyle="1" w:styleId="FP">
    <w:name w:val="FP"/>
    <w:basedOn w:val="Normal"/>
    <w:rsid w:val="002311F3"/>
    <w:pPr>
      <w:spacing w:after="0"/>
    </w:pPr>
  </w:style>
  <w:style w:type="paragraph" w:customStyle="1" w:styleId="LD">
    <w:name w:val="LD"/>
    <w:rsid w:val="002311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311F3"/>
    <w:pPr>
      <w:spacing w:after="0"/>
    </w:pPr>
  </w:style>
  <w:style w:type="paragraph" w:customStyle="1" w:styleId="EW">
    <w:name w:val="EW"/>
    <w:basedOn w:val="EX"/>
    <w:rsid w:val="002311F3"/>
    <w:pPr>
      <w:spacing w:after="0"/>
    </w:pPr>
  </w:style>
  <w:style w:type="paragraph" w:customStyle="1" w:styleId="EQ">
    <w:name w:val="EQ"/>
    <w:basedOn w:val="Normal"/>
    <w:next w:val="Normal"/>
    <w:rsid w:val="002311F3"/>
    <w:pPr>
      <w:keepLines/>
      <w:tabs>
        <w:tab w:val="center" w:pos="4536"/>
        <w:tab w:val="right" w:pos="9072"/>
      </w:tabs>
    </w:pPr>
    <w:rPr>
      <w:noProof/>
    </w:rPr>
  </w:style>
  <w:style w:type="paragraph" w:customStyle="1" w:styleId="NF">
    <w:name w:val="NF"/>
    <w:basedOn w:val="NO"/>
    <w:rsid w:val="002311F3"/>
    <w:pPr>
      <w:keepNext/>
      <w:spacing w:after="0"/>
    </w:pPr>
    <w:rPr>
      <w:rFonts w:ascii="Arial" w:hAnsi="Arial"/>
      <w:sz w:val="18"/>
    </w:rPr>
  </w:style>
  <w:style w:type="paragraph" w:customStyle="1" w:styleId="PL">
    <w:name w:val="PL"/>
    <w:link w:val="PLChar"/>
    <w:rsid w:val="00231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11F3"/>
    <w:pPr>
      <w:jc w:val="right"/>
    </w:pPr>
  </w:style>
  <w:style w:type="paragraph" w:customStyle="1" w:styleId="TAN">
    <w:name w:val="TAN"/>
    <w:basedOn w:val="TAL"/>
    <w:rsid w:val="002311F3"/>
    <w:pPr>
      <w:ind w:left="851" w:hanging="851"/>
    </w:pPr>
  </w:style>
  <w:style w:type="paragraph" w:customStyle="1" w:styleId="ZA">
    <w:name w:val="ZA"/>
    <w:rsid w:val="002311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11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311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311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311F3"/>
    <w:pPr>
      <w:framePr w:wrap="notBeside" w:y="16161"/>
    </w:pPr>
  </w:style>
  <w:style w:type="character" w:customStyle="1" w:styleId="ZGSM">
    <w:name w:val="ZGSM"/>
    <w:rsid w:val="002311F3"/>
  </w:style>
  <w:style w:type="paragraph" w:customStyle="1" w:styleId="ZG">
    <w:name w:val="ZG"/>
    <w:rsid w:val="002311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2311F3"/>
    <w:rPr>
      <w:color w:val="FF0000"/>
    </w:rPr>
  </w:style>
  <w:style w:type="paragraph" w:customStyle="1" w:styleId="B2">
    <w:name w:val="B2"/>
    <w:basedOn w:val="List2"/>
    <w:link w:val="B2Char"/>
    <w:rsid w:val="002311F3"/>
  </w:style>
  <w:style w:type="paragraph" w:customStyle="1" w:styleId="B3">
    <w:name w:val="B3"/>
    <w:basedOn w:val="List3"/>
    <w:link w:val="B3Char2"/>
    <w:rsid w:val="002311F3"/>
  </w:style>
  <w:style w:type="paragraph" w:customStyle="1" w:styleId="B4">
    <w:name w:val="B4"/>
    <w:basedOn w:val="List4"/>
    <w:link w:val="B4Char"/>
    <w:rsid w:val="002311F3"/>
  </w:style>
  <w:style w:type="paragraph" w:customStyle="1" w:styleId="B5">
    <w:name w:val="B5"/>
    <w:basedOn w:val="List5"/>
    <w:link w:val="B5Char"/>
    <w:rsid w:val="002311F3"/>
  </w:style>
  <w:style w:type="paragraph" w:customStyle="1" w:styleId="ZTD">
    <w:name w:val="ZTD"/>
    <w:basedOn w:val="ZB"/>
    <w:rsid w:val="002311F3"/>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99"/>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rsid w:val="00ED3CAA"/>
    <w:pPr>
      <w:numPr>
        <w:numId w:val="2"/>
      </w:numPr>
      <w:tabs>
        <w:tab w:val="left" w:pos="1701"/>
      </w:tabs>
      <w:spacing w:after="120" w:line="259" w:lineRule="auto"/>
      <w:ind w:left="1710" w:hanging="1710"/>
      <w:jc w:val="both"/>
    </w:pPr>
    <w:rPr>
      <w:rFonts w:ascii="Arial" w:eastAsiaTheme="minorEastAsia" w:hAnsi="Arial"/>
      <w:b/>
      <w:bCs/>
      <w:lang w:eastAsia="ja-JP"/>
    </w:rPr>
  </w:style>
  <w:style w:type="paragraph" w:customStyle="1" w:styleId="Proposal">
    <w:name w:val="Proposal"/>
    <w:basedOn w:val="BodyText"/>
    <w:link w:val="ProposalChar"/>
    <w:qFormat/>
    <w:rsid w:val="00A95C66"/>
    <w:pPr>
      <w:numPr>
        <w:numId w:val="3"/>
      </w:numPr>
      <w:tabs>
        <w:tab w:val="left" w:pos="1304"/>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99"/>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paragraph" w:customStyle="1" w:styleId="Proposallist">
    <w:name w:val="Proposal list"/>
    <w:basedOn w:val="Normal"/>
    <w:link w:val="ProposallistChar"/>
    <w:qFormat/>
    <w:rsid w:val="000F6634"/>
    <w:pPr>
      <w:tabs>
        <w:tab w:val="left" w:pos="1560"/>
      </w:tabs>
      <w:overflowPunct/>
      <w:autoSpaceDE/>
      <w:autoSpaceDN/>
      <w:adjustRightInd/>
      <w:ind w:left="1560" w:hanging="1134"/>
      <w:textAlignment w:val="auto"/>
    </w:pPr>
    <w:rPr>
      <w:b/>
      <w:lang w:eastAsia="en-US"/>
    </w:rPr>
  </w:style>
  <w:style w:type="character" w:customStyle="1" w:styleId="ProposallistChar">
    <w:name w:val="Proposal list Char"/>
    <w:basedOn w:val="DefaultParagraphFont"/>
    <w:link w:val="Proposallist"/>
    <w:rsid w:val="000F6634"/>
    <w:rPr>
      <w:rFonts w:eastAsia="Times New Roman"/>
      <w:b/>
      <w:lang w:val="en-GB" w:eastAsia="en-US"/>
    </w:rPr>
  </w:style>
  <w:style w:type="character" w:customStyle="1" w:styleId="Heading1Char">
    <w:name w:val="Heading 1 Char"/>
    <w:aliases w:val="H1 Char,h1 Char"/>
    <w:basedOn w:val="DefaultParagraphFont"/>
    <w:link w:val="Heading1"/>
    <w:rsid w:val="000F2563"/>
    <w:rPr>
      <w:rFonts w:ascii="Arial" w:eastAsia="Times New Roman" w:hAnsi="Arial"/>
      <w:sz w:val="36"/>
      <w:lang w:val="en-GB"/>
    </w:rPr>
  </w:style>
  <w:style w:type="paragraph" w:customStyle="1" w:styleId="Source">
    <w:name w:val="Source"/>
    <w:basedOn w:val="Normal"/>
    <w:rsid w:val="000F2563"/>
    <w:pPr>
      <w:overflowPunct/>
      <w:autoSpaceDE/>
      <w:autoSpaceDN/>
      <w:adjustRightInd/>
      <w:spacing w:after="60"/>
      <w:ind w:left="1985" w:hanging="1985"/>
      <w:textAlignment w:val="auto"/>
    </w:pPr>
    <w:rPr>
      <w:rFonts w:ascii="Arial" w:hAnsi="Arial" w:cs="Arial"/>
      <w:b/>
      <w:lang w:eastAsia="en-US"/>
    </w:rPr>
  </w:style>
  <w:style w:type="character" w:customStyle="1" w:styleId="BodyTextChar">
    <w:name w:val="Body Text Char"/>
    <w:basedOn w:val="DefaultParagraphFont"/>
    <w:link w:val="BodyText"/>
    <w:rsid w:val="00ED3CAA"/>
    <w:rPr>
      <w:rFonts w:eastAsia="Times New Roman"/>
      <w:lang w:val="en-GB"/>
    </w:rPr>
  </w:style>
  <w:style w:type="paragraph" w:customStyle="1" w:styleId="Prop">
    <w:name w:val="Prop"/>
    <w:basedOn w:val="Proposal"/>
    <w:link w:val="PropChar"/>
    <w:qFormat/>
    <w:rsid w:val="00A95C66"/>
    <w:pPr>
      <w:numPr>
        <w:numId w:val="31"/>
      </w:numPr>
      <w:ind w:left="1440" w:right="432" w:hanging="1440"/>
    </w:pPr>
  </w:style>
  <w:style w:type="character" w:customStyle="1" w:styleId="ProposalChar">
    <w:name w:val="Proposal Char"/>
    <w:basedOn w:val="BodyTextChar"/>
    <w:link w:val="Proposal"/>
    <w:rsid w:val="00A95C66"/>
    <w:rPr>
      <w:rFonts w:ascii="Arial" w:eastAsia="Times New Roman" w:hAnsi="Arial"/>
      <w:b/>
      <w:bCs/>
      <w:lang w:val="en-GB"/>
    </w:rPr>
  </w:style>
  <w:style w:type="character" w:customStyle="1" w:styleId="PropChar">
    <w:name w:val="Prop Char"/>
    <w:basedOn w:val="ProposalChar"/>
    <w:link w:val="Prop"/>
    <w:rsid w:val="00A95C66"/>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portal.3gpp.org/?tbid=373&amp;SubTB=381"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4.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2EEEE6-7B6D-467B-B0FC-DF7B506C352A}">
  <ds:schemaRefs>
    <ds:schemaRef ds:uri="http://schemas.openxmlformats.org/officeDocument/2006/bibliography"/>
  </ds:schemaRefs>
</ds:datastoreItem>
</file>

<file path=customXml/itemProps6.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7.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4</Pages>
  <Words>1441</Words>
  <Characters>8215</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cp:lastModifiedBy>
  <cp:revision>36</cp:revision>
  <cp:lastPrinted>2014-08-13T09:20:00Z</cp:lastPrinted>
  <dcterms:created xsi:type="dcterms:W3CDTF">2024-03-28T09:57:00Z</dcterms:created>
  <dcterms:modified xsi:type="dcterms:W3CDTF">2024-04-08T13:17:00Z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(3)6qwegyyw+o10fI+1/S5XR3HN7V3KvoFpXtFfQTuKU/aotKEtXnhbeaIgUaW9bqtEdD2GxAlt
iNPu2CCeSLWP7g81osqP8X7hSzC9RfwVHh7Y1MGjQuTtOjnHo2XEYnBJVpOyd52KHKYBi2Yr
wuNev4i/yRyej7Ko7LENV7aNMII3vmBwfPa7Ad8sxNbx+hoSLCRoqKJJFu5UWac61ax0Rwjh
/hwPF2xGrNuBd4ZECQ</vt:lpwstr>
  </property>
  <property fmtid="{D5CDD505-2E9C-101B-9397-08002B2CF9AE}" pid="3" name="_2015_ms_pID_7253431">
    <vt:lpwstr>OHza9b8VwJ4O2M+vFXqM/Glw1jZU/VOYUjmZqa1Z4rkhQegpPNNGy4
481lHAy9p5XFOpqTgWPLTYVoJlo1xb36xlVXi7KqqkjODy3owE/UauWr19xeTPmWWqnzLauq
HHdRf03CBox/Asi9xDqjAJivM9DGKtWpvBudORKn1GDNwh1iJvp2I8+iTj1kG0hfLxeC8+Ty
5oi3nOSIzZYpGJzYbvmQJ+/G1tibCSOA0/7T</vt:lpwstr>
  </property>
  <property fmtid="{D5CDD505-2E9C-101B-9397-08002B2CF9AE}" pid="4" name="KSOProductBuildVer">
    <vt:lpwstr>2052-11.8.2.9022</vt:lpwstr>
  </property>
  <property fmtid="{D5CDD505-2E9C-101B-9397-08002B2CF9AE}" pid="5" name="_2015_ms_pID_7253432">
    <vt:lpwstr>FnOl8paRIyyeWKDYo0Nkm/c=</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1712582071</vt:lpwstr>
  </property>
</Properties>
</file>